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D5C5" w14:textId="77777777" w:rsidR="00553543" w:rsidRDefault="00584985">
      <w:pPr>
        <w:pBdr>
          <w:top w:val="nil"/>
          <w:left w:val="nil"/>
          <w:bottom w:val="nil"/>
          <w:right w:val="nil"/>
          <w:between w:val="nil"/>
          <w:bar w:val="nil"/>
        </w:pBdr>
        <w:jc w:val="center"/>
        <w:rPr>
          <w:b/>
          <w:color w:val="000000"/>
        </w:rPr>
      </w:pPr>
      <w:proofErr w:type="spellStart"/>
      <w:r>
        <w:rPr>
          <w:b/>
          <w:color w:val="000000"/>
        </w:rPr>
        <w:t>OneSpaWorld</w:t>
      </w:r>
      <w:proofErr w:type="spellEnd"/>
      <w:r>
        <w:rPr>
          <w:b/>
          <w:color w:val="000000"/>
        </w:rPr>
        <w:t xml:space="preserve"> Reports First Quarter Fiscal 2025 Results</w:t>
      </w:r>
    </w:p>
    <w:p w14:paraId="1D12B0AD" w14:textId="77777777" w:rsidR="00553543" w:rsidRDefault="00584985">
      <w:pPr>
        <w:pBdr>
          <w:top w:val="nil"/>
          <w:left w:val="nil"/>
          <w:bottom w:val="nil"/>
          <w:right w:val="nil"/>
          <w:between w:val="nil"/>
          <w:bar w:val="nil"/>
        </w:pBdr>
        <w:jc w:val="center"/>
        <w:rPr>
          <w:b/>
          <w:color w:val="000000"/>
        </w:rPr>
      </w:pPr>
      <w:r>
        <w:rPr>
          <w:b/>
          <w:color w:val="000000"/>
        </w:rPr>
        <w:t xml:space="preserve"> </w:t>
      </w:r>
    </w:p>
    <w:p w14:paraId="71108E1C" w14:textId="77777777" w:rsidR="00553543" w:rsidRDefault="00584985">
      <w:pPr>
        <w:pBdr>
          <w:top w:val="nil"/>
          <w:left w:val="nil"/>
          <w:bottom w:val="nil"/>
          <w:right w:val="nil"/>
          <w:between w:val="nil"/>
          <w:bar w:val="nil"/>
        </w:pBdr>
        <w:jc w:val="center"/>
        <w:rPr>
          <w:b/>
          <w:color w:val="000000"/>
          <w:shd w:val="clear" w:color="auto" w:fill="FFFFFF"/>
        </w:rPr>
      </w:pPr>
      <w:r>
        <w:rPr>
          <w:b/>
          <w:color w:val="000000"/>
        </w:rPr>
        <w:t>Total Revenues of $219.6 Millio</w:t>
      </w:r>
      <w:r>
        <w:rPr>
          <w:b/>
          <w:color w:val="000000"/>
          <w:shd w:val="clear" w:color="auto" w:fill="FFFFFF"/>
        </w:rPr>
        <w:t xml:space="preserve">n, Net Income of $15.3 Million </w:t>
      </w:r>
      <w:r>
        <w:rPr>
          <w:b/>
          <w:color w:val="000000"/>
        </w:rPr>
        <w:t>and Adjusted EBITDA of $26.6 Million</w:t>
      </w:r>
    </w:p>
    <w:p w14:paraId="2328C5A4" w14:textId="77777777" w:rsidR="00553543" w:rsidRDefault="00584985">
      <w:pPr>
        <w:pBdr>
          <w:top w:val="nil"/>
          <w:left w:val="nil"/>
          <w:bottom w:val="nil"/>
          <w:right w:val="nil"/>
          <w:between w:val="nil"/>
          <w:bar w:val="nil"/>
        </w:pBdr>
        <w:jc w:val="center"/>
        <w:rPr>
          <w:b/>
          <w:color w:val="000000"/>
        </w:rPr>
      </w:pPr>
      <w:r>
        <w:rPr>
          <w:b/>
          <w:color w:val="000000"/>
        </w:rPr>
        <w:t>Reaffirms Fiscal Year 2025 Guidance</w:t>
      </w:r>
    </w:p>
    <w:p w14:paraId="6E32F161" w14:textId="77777777" w:rsidR="00553543" w:rsidRDefault="00584985">
      <w:pPr>
        <w:pBdr>
          <w:top w:val="nil"/>
          <w:left w:val="nil"/>
          <w:bottom w:val="nil"/>
          <w:right w:val="nil"/>
          <w:between w:val="nil"/>
          <w:bar w:val="nil"/>
        </w:pBdr>
        <w:rPr>
          <w:b/>
          <w:color w:val="000000"/>
        </w:rPr>
      </w:pPr>
      <w:r>
        <w:rPr>
          <w:b/>
          <w:color w:val="000000"/>
        </w:rPr>
        <w:t>Introduces Second Quarter 2025 Guidance of $235-$240 Million in Total Revenues and $28-$30 Million in Adjusted EBITDA</w:t>
      </w:r>
    </w:p>
    <w:p w14:paraId="3362F70C" w14:textId="77777777" w:rsidR="00553543" w:rsidRDefault="00584985">
      <w:pPr>
        <w:pBdr>
          <w:top w:val="nil"/>
          <w:left w:val="nil"/>
          <w:bottom w:val="nil"/>
          <w:right w:val="nil"/>
          <w:between w:val="nil"/>
          <w:bar w:val="nil"/>
        </w:pBdr>
        <w:jc w:val="center"/>
        <w:rPr>
          <w:b/>
          <w:color w:val="000000"/>
        </w:rPr>
      </w:pPr>
      <w:r>
        <w:rPr>
          <w:b/>
          <w:color w:val="000000"/>
        </w:rPr>
        <w:t>Board Declares Quarterly Dividend of $0.04 Per Share and Authorizes New $75 Million Share Repurchase Program</w:t>
      </w:r>
    </w:p>
    <w:p w14:paraId="76AC54E8" w14:textId="77777777" w:rsidR="00553543" w:rsidRDefault="00553543">
      <w:pPr>
        <w:pBdr>
          <w:top w:val="nil"/>
          <w:left w:val="nil"/>
          <w:bottom w:val="nil"/>
          <w:right w:val="nil"/>
          <w:between w:val="nil"/>
          <w:bar w:val="nil"/>
        </w:pBdr>
        <w:jc w:val="center"/>
        <w:rPr>
          <w:b/>
          <w:color w:val="000000"/>
        </w:rPr>
      </w:pPr>
    </w:p>
    <w:p w14:paraId="4C424869" w14:textId="77777777" w:rsidR="00553543" w:rsidRDefault="00584985">
      <w:pPr>
        <w:pBdr>
          <w:top w:val="nil"/>
          <w:left w:val="nil"/>
          <w:bottom w:val="nil"/>
          <w:right w:val="nil"/>
          <w:between w:val="nil"/>
          <w:bar w:val="nil"/>
        </w:pBdr>
        <w:jc w:val="center"/>
        <w:rPr>
          <w:b/>
          <w:color w:val="000000"/>
        </w:rPr>
      </w:pPr>
      <w:r>
        <w:rPr>
          <w:b/>
          <w:color w:val="000000"/>
        </w:rPr>
        <w:t xml:space="preserve"> </w:t>
      </w:r>
    </w:p>
    <w:p w14:paraId="25E0AF00" w14:textId="77777777" w:rsidR="00553543" w:rsidRDefault="00584985">
      <w:pPr>
        <w:pBdr>
          <w:top w:val="nil"/>
          <w:left w:val="nil"/>
          <w:bottom w:val="nil"/>
          <w:right w:val="nil"/>
          <w:between w:val="nil"/>
          <w:bar w:val="nil"/>
        </w:pBdr>
        <w:rPr>
          <w:color w:val="000000"/>
        </w:rPr>
      </w:pPr>
      <w:r>
        <w:rPr>
          <w:b/>
          <w:color w:val="000000"/>
        </w:rPr>
        <w:t>Nassau, Bahamas, April 30, 2025</w:t>
      </w:r>
      <w:r>
        <w:rPr>
          <w:color w:val="000000"/>
        </w:rPr>
        <w:t xml:space="preserve"> – OneSpaWorld Holdings Limited (NASDAQ: OSW) (“OneSpaWorld,” or the “Company”), the pre-eminent global provider of health and wellness services and products on-board cruise ships and in destination resorts around the world, today announced financial results for the first quarter ended March 31, 2025. </w:t>
      </w:r>
    </w:p>
    <w:p w14:paraId="37A65816" w14:textId="77777777" w:rsidR="00553543" w:rsidRDefault="00553543">
      <w:pPr>
        <w:pBdr>
          <w:top w:val="nil"/>
          <w:left w:val="nil"/>
          <w:bottom w:val="nil"/>
          <w:right w:val="nil"/>
          <w:between w:val="nil"/>
          <w:bar w:val="nil"/>
        </w:pBdr>
        <w:rPr>
          <w:color w:val="000000"/>
        </w:rPr>
      </w:pPr>
    </w:p>
    <w:p w14:paraId="038E099B" w14:textId="0D936C3D" w:rsidR="00553543" w:rsidRDefault="00584985">
      <w:pPr>
        <w:pBdr>
          <w:top w:val="nil"/>
          <w:left w:val="nil"/>
          <w:bottom w:val="nil"/>
          <w:right w:val="nil"/>
          <w:between w:val="nil"/>
          <w:bar w:val="nil"/>
        </w:pBdr>
        <w:rPr>
          <w:color w:val="000000"/>
        </w:rPr>
      </w:pPr>
      <w:r>
        <w:rPr>
          <w:color w:val="000000"/>
        </w:rPr>
        <w:t xml:space="preserve">Leonard Fluxman, Executive Chairman and Chief Executive Officer, commented: “We are pleased to report first quarter results at the high end of our guidance and </w:t>
      </w:r>
      <w:r w:rsidR="00865664">
        <w:rPr>
          <w:color w:val="000000"/>
        </w:rPr>
        <w:t>re</w:t>
      </w:r>
      <w:r>
        <w:rPr>
          <w:color w:val="000000"/>
        </w:rPr>
        <w:t xml:space="preserve">affirm our fiscal year 2025 guidance.  Our performance reflects the impact of our mission to invest in our cruise line and destination resort partnerships, continuously innovate our guest experiences, and enhance our productivity and profitability across our business, as evidenced by increases across our key operating metrics during the quarter.  In addition, we added to our fleet Norwegian Cruise Lines’ first Prima Plus Class ship, Norwegian Aqua™, and we remain on track to introduce health and wellness centers on an additional eight new ship builds commencing voyages this year.  Following quarter-end, we also executed an agreement to operate health and wellness centers on 11 ships for P&amp;O and Cunard, continuing our long-standing relationship with these brands.”   </w:t>
      </w:r>
    </w:p>
    <w:p w14:paraId="7B1328F7" w14:textId="77777777" w:rsidR="00553543" w:rsidRDefault="00553543">
      <w:pPr>
        <w:pBdr>
          <w:top w:val="nil"/>
          <w:left w:val="nil"/>
          <w:bottom w:val="nil"/>
          <w:right w:val="nil"/>
          <w:between w:val="nil"/>
          <w:bar w:val="nil"/>
        </w:pBdr>
        <w:rPr>
          <w:color w:val="000000"/>
        </w:rPr>
      </w:pPr>
    </w:p>
    <w:p w14:paraId="29178BA3" w14:textId="77777777" w:rsidR="00553543" w:rsidRDefault="00584985">
      <w:pPr>
        <w:pBdr>
          <w:top w:val="nil"/>
          <w:left w:val="nil"/>
          <w:bottom w:val="nil"/>
          <w:right w:val="nil"/>
          <w:between w:val="nil"/>
          <w:bar w:val="nil"/>
        </w:pBdr>
        <w:rPr>
          <w:color w:val="000000"/>
        </w:rPr>
      </w:pPr>
      <w:r>
        <w:rPr>
          <w:color w:val="000000"/>
        </w:rPr>
        <w:t xml:space="preserve">Mr. Fluxman, continued, “With our positive momentum continuing into the second quarter, we remain confident in our ability to navigate an increasingly dynamic economic environment by leveraging our proven operating strategies, complex global business model, and operating and financial discipline. Our confidence is buoyed by our decades-long experience and the resilience of our business across economic cycles.  We are well positioned to provide increasingly valuable service to our partners, experiences to our guests, and results for our stakeholders and shareholders in fiscal 2025 and beyond.”  </w:t>
      </w:r>
    </w:p>
    <w:p w14:paraId="0754A218" w14:textId="77777777" w:rsidR="00553543" w:rsidRDefault="00553543">
      <w:pPr>
        <w:pBdr>
          <w:top w:val="nil"/>
          <w:left w:val="nil"/>
          <w:bottom w:val="nil"/>
          <w:right w:val="nil"/>
          <w:between w:val="nil"/>
          <w:bar w:val="nil"/>
        </w:pBdr>
        <w:rPr>
          <w:color w:val="000000"/>
        </w:rPr>
      </w:pPr>
    </w:p>
    <w:p w14:paraId="54DB16D5" w14:textId="77777777" w:rsidR="00553543" w:rsidRDefault="00584985">
      <w:pPr>
        <w:pBdr>
          <w:top w:val="nil"/>
          <w:left w:val="nil"/>
          <w:bottom w:val="nil"/>
          <w:right w:val="nil"/>
          <w:between w:val="nil"/>
          <w:bar w:val="nil"/>
        </w:pBdr>
        <w:rPr>
          <w:color w:val="000000"/>
        </w:rPr>
      </w:pPr>
      <w:r>
        <w:rPr>
          <w:color w:val="000000"/>
        </w:rPr>
        <w:t xml:space="preserve">Mr. Fluxman concluded, “In recognition of our strong competitive and financial position, and our consistent free cash flow generation, our Board of Directors approved a new $75 million share repurchase program extending our prior $50 million share repurchase program substantially completed in the first quarter.  Together with our quarterly cash dividend, this program demonstrates our commitment to enhance shareholder value through our enterprise growth and capital allocation strategies.”  </w:t>
      </w:r>
    </w:p>
    <w:p w14:paraId="7407D858" w14:textId="77777777" w:rsidR="00553543" w:rsidRDefault="00553543">
      <w:pPr>
        <w:pBdr>
          <w:top w:val="nil"/>
          <w:left w:val="nil"/>
          <w:bottom w:val="nil"/>
          <w:right w:val="nil"/>
          <w:between w:val="nil"/>
          <w:bar w:val="nil"/>
        </w:pBdr>
        <w:rPr>
          <w:color w:val="000000"/>
        </w:rPr>
      </w:pPr>
    </w:p>
    <w:p w14:paraId="6C03A88B" w14:textId="77777777" w:rsidR="00553543" w:rsidRDefault="00584985">
      <w:pPr>
        <w:pBdr>
          <w:top w:val="nil"/>
          <w:left w:val="nil"/>
          <w:bottom w:val="nil"/>
          <w:right w:val="nil"/>
          <w:between w:val="nil"/>
          <w:bar w:val="nil"/>
        </w:pBdr>
        <w:rPr>
          <w:color w:val="000000"/>
        </w:rPr>
      </w:pPr>
      <w:r>
        <w:rPr>
          <w:color w:val="000000"/>
        </w:rPr>
        <w:t xml:space="preserve">Stephen Lazarus, President, Chief Financial Officer and Chief Operating Officer, added, “We are indeed pleased with our first quarter results, realizing our expected growth in Total revenues and Adjusted EBITDA.  In addition, we generated predictably strong free cash flow, leveraging our efficient capital structure and asset light business model, which together with our surplus liquidity, funded the return of $42 million to our shareholders through our quarterly dividend and repurchases of common shares during the quarter.  We ended the quarter with a strong balance sheet, including $74 million of total liquidity.”  </w:t>
      </w:r>
    </w:p>
    <w:p w14:paraId="6365D102" w14:textId="77777777" w:rsidR="00553543" w:rsidRDefault="00553543">
      <w:pPr>
        <w:pBdr>
          <w:top w:val="nil"/>
          <w:left w:val="nil"/>
          <w:bottom w:val="nil"/>
          <w:right w:val="nil"/>
          <w:between w:val="nil"/>
          <w:bar w:val="nil"/>
        </w:pBdr>
        <w:rPr>
          <w:color w:val="000000"/>
        </w:rPr>
      </w:pPr>
    </w:p>
    <w:p w14:paraId="541024F3" w14:textId="77777777" w:rsidR="00553543" w:rsidRDefault="00584985">
      <w:pPr>
        <w:pBdr>
          <w:top w:val="nil"/>
          <w:left w:val="nil"/>
          <w:bottom w:val="nil"/>
          <w:right w:val="nil"/>
          <w:between w:val="nil"/>
          <w:bar w:val="nil"/>
        </w:pBdr>
        <w:rPr>
          <w:color w:val="000000"/>
        </w:rPr>
      </w:pPr>
      <w:r>
        <w:rPr>
          <w:color w:val="000000"/>
        </w:rPr>
        <w:t xml:space="preserve">Mr. Lazarus concluded, “We expect to report fiscal 2025 results within our guidance ranges reflecting high-single digit Total revenues and Adjusted EBITDA growth as we move through the year, benefiting from the impact of our strategic initiatives and health and wellness centers on eight new ships being introduced later this year.” </w:t>
      </w:r>
    </w:p>
    <w:p w14:paraId="0A665559" w14:textId="77777777" w:rsidR="00553543" w:rsidRDefault="00553543">
      <w:pPr>
        <w:pBdr>
          <w:top w:val="nil"/>
          <w:left w:val="nil"/>
          <w:bottom w:val="nil"/>
          <w:right w:val="nil"/>
          <w:between w:val="nil"/>
          <w:bar w:val="nil"/>
        </w:pBdr>
        <w:rPr>
          <w:color w:val="000000"/>
        </w:rPr>
      </w:pPr>
    </w:p>
    <w:p w14:paraId="12E4ED5C" w14:textId="77777777" w:rsidR="00553543" w:rsidRDefault="00584985">
      <w:pPr>
        <w:pBdr>
          <w:top w:val="nil"/>
          <w:left w:val="nil"/>
          <w:bottom w:val="nil"/>
          <w:right w:val="nil"/>
          <w:between w:val="nil"/>
          <w:bar w:val="nil"/>
        </w:pBdr>
        <w:rPr>
          <w:b/>
          <w:i/>
          <w:color w:val="000000"/>
        </w:rPr>
      </w:pPr>
      <w:r>
        <w:rPr>
          <w:b/>
          <w:i/>
          <w:color w:val="000000"/>
        </w:rPr>
        <w:t xml:space="preserve"> </w:t>
      </w:r>
    </w:p>
    <w:p w14:paraId="73729479" w14:textId="77777777" w:rsidR="00553543" w:rsidRDefault="00584985">
      <w:pPr>
        <w:pBdr>
          <w:top w:val="nil"/>
          <w:left w:val="nil"/>
          <w:bottom w:val="nil"/>
          <w:right w:val="nil"/>
          <w:between w:val="nil"/>
          <w:bar w:val="nil"/>
        </w:pBdr>
        <w:rPr>
          <w:b/>
          <w:i/>
          <w:color w:val="000000"/>
        </w:rPr>
      </w:pPr>
      <w:r>
        <w:rPr>
          <w:b/>
          <w:i/>
          <w:color w:val="000000"/>
        </w:rPr>
        <w:t>First Quarter 2025 Highlights:</w:t>
      </w:r>
    </w:p>
    <w:p w14:paraId="0DB6CCB0" w14:textId="77777777" w:rsidR="00553543" w:rsidRDefault="00553543">
      <w:pPr>
        <w:pBdr>
          <w:top w:val="nil"/>
          <w:left w:val="nil"/>
          <w:bottom w:val="nil"/>
          <w:right w:val="nil"/>
          <w:between w:val="nil"/>
          <w:bar w:val="nil"/>
        </w:pBdr>
        <w:rPr>
          <w:b/>
          <w:i/>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6"/>
        <w:gridCol w:w="108"/>
        <w:gridCol w:w="9936"/>
      </w:tblGrid>
      <w:tr w:rsidR="00553543" w14:paraId="18632025" w14:textId="77777777">
        <w:tc>
          <w:tcPr>
            <w:tcW w:w="250" w:type="pct"/>
            <w:tcBorders>
              <w:top w:val="nil"/>
              <w:left w:val="nil"/>
              <w:bottom w:val="nil"/>
              <w:right w:val="nil"/>
            </w:tcBorders>
          </w:tcPr>
          <w:p w14:paraId="38D7309D"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Pr>
          <w:p w14:paraId="3270C51D"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Pr>
          <w:p w14:paraId="2B46A75A"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Pr>
          <w:p w14:paraId="508EFBEA" w14:textId="77777777" w:rsidR="00553543" w:rsidRDefault="00584985">
            <w:pPr>
              <w:pBdr>
                <w:top w:val="nil"/>
                <w:left w:val="nil"/>
                <w:bottom w:val="nil"/>
                <w:right w:val="nil"/>
                <w:between w:val="nil"/>
                <w:bar w:val="nil"/>
              </w:pBdr>
              <w:rPr>
                <w:color w:val="000000"/>
              </w:rPr>
            </w:pPr>
            <w:r>
              <w:rPr>
                <w:color w:val="000000"/>
              </w:rPr>
              <w:t>Total revenues increased 4% to $219.6 million compared to $211.2 million in the first quarter of 2024.</w:t>
            </w:r>
          </w:p>
        </w:tc>
      </w:tr>
      <w:tr w:rsidR="00553543" w14:paraId="2422330B" w14:textId="77777777">
        <w:tc>
          <w:tcPr>
            <w:tcW w:w="250" w:type="pct"/>
            <w:tcBorders>
              <w:top w:val="nil"/>
              <w:left w:val="nil"/>
              <w:bottom w:val="nil"/>
              <w:right w:val="nil"/>
            </w:tcBorders>
          </w:tcPr>
          <w:p w14:paraId="2DD4E0A4"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Pr>
          <w:p w14:paraId="5ABACC11"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Pr>
          <w:p w14:paraId="4B3395DF"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Pr>
          <w:p w14:paraId="150962DB" w14:textId="77777777" w:rsidR="00553543" w:rsidRDefault="00584985">
            <w:pPr>
              <w:pBdr>
                <w:top w:val="nil"/>
                <w:left w:val="nil"/>
                <w:bottom w:val="nil"/>
                <w:right w:val="nil"/>
                <w:between w:val="nil"/>
                <w:bar w:val="nil"/>
              </w:pBdr>
              <w:rPr>
                <w:color w:val="000000"/>
              </w:rPr>
            </w:pPr>
            <w:r>
              <w:rPr>
                <w:color w:val="000000"/>
              </w:rPr>
              <w:t>Income from operations of $16.8 million included $2.5 million of non-recurring severance expense, compared to $17.0 million in the first quarter of 2024.  The $2.5 million was comprised of $1.1 million of cash severance and $1.4 million of expense related to accelerated vesting of shares.</w:t>
            </w:r>
          </w:p>
        </w:tc>
      </w:tr>
      <w:tr w:rsidR="00553543" w14:paraId="4383145B" w14:textId="77777777">
        <w:tc>
          <w:tcPr>
            <w:tcW w:w="250" w:type="pct"/>
            <w:tcBorders>
              <w:top w:val="nil"/>
              <w:left w:val="nil"/>
              <w:bottom w:val="nil"/>
              <w:right w:val="nil"/>
            </w:tcBorders>
          </w:tcPr>
          <w:p w14:paraId="4F0CEB69" w14:textId="77777777" w:rsidR="00553543" w:rsidRDefault="00553543">
            <w:pPr>
              <w:pBdr>
                <w:top w:val="nil"/>
                <w:left w:val="nil"/>
                <w:bottom w:val="nil"/>
                <w:right w:val="nil"/>
                <w:between w:val="nil"/>
                <w:bar w:val="nil"/>
              </w:pBdr>
              <w:rPr>
                <w:color w:val="000000"/>
              </w:rPr>
            </w:pPr>
          </w:p>
        </w:tc>
        <w:tc>
          <w:tcPr>
            <w:tcW w:w="100" w:type="pct"/>
            <w:tcBorders>
              <w:top w:val="nil"/>
              <w:left w:val="nil"/>
              <w:bottom w:val="nil"/>
              <w:right w:val="nil"/>
            </w:tcBorders>
          </w:tcPr>
          <w:p w14:paraId="3DB000BF"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Pr>
          <w:p w14:paraId="241984EB" w14:textId="77777777" w:rsidR="00553543" w:rsidRDefault="00553543">
            <w:pPr>
              <w:pBdr>
                <w:top w:val="nil"/>
                <w:left w:val="nil"/>
                <w:bottom w:val="nil"/>
                <w:right w:val="nil"/>
                <w:between w:val="nil"/>
                <w:bar w:val="nil"/>
              </w:pBdr>
              <w:rPr>
                <w:color w:val="000000"/>
              </w:rPr>
            </w:pPr>
          </w:p>
        </w:tc>
        <w:tc>
          <w:tcPr>
            <w:tcW w:w="4600" w:type="pct"/>
            <w:tcBorders>
              <w:top w:val="nil"/>
              <w:left w:val="nil"/>
              <w:bottom w:val="nil"/>
              <w:right w:val="nil"/>
            </w:tcBorders>
          </w:tcPr>
          <w:p w14:paraId="020CE392" w14:textId="362F5D5B" w:rsidR="00553543" w:rsidRDefault="00584985">
            <w:pPr>
              <w:pBdr>
                <w:top w:val="nil"/>
                <w:left w:val="nil"/>
                <w:bottom w:val="nil"/>
                <w:right w:val="nil"/>
                <w:between w:val="nil"/>
                <w:bar w:val="nil"/>
              </w:pBdr>
              <w:rPr>
                <w:color w:val="000000"/>
              </w:rPr>
            </w:pPr>
            <w:r>
              <w:rPr>
                <w:color w:val="000000"/>
              </w:rPr>
              <w:t>Net income was $15.3 million, including the aforementioned $2.5 million</w:t>
            </w:r>
            <w:r w:rsidR="00865664">
              <w:rPr>
                <w:color w:val="000000"/>
              </w:rPr>
              <w:t xml:space="preserve"> expense</w:t>
            </w:r>
            <w:r>
              <w:rPr>
                <w:color w:val="000000"/>
              </w:rPr>
              <w:t>, compared to $21.2 million in the first quarter of 2024, which included a benefit of $7.7 million driven by the fair value of warrant liabilities.</w:t>
            </w:r>
          </w:p>
        </w:tc>
      </w:tr>
      <w:tr w:rsidR="00553543" w14:paraId="4581936B" w14:textId="77777777">
        <w:tc>
          <w:tcPr>
            <w:tcW w:w="250" w:type="pct"/>
            <w:tcBorders>
              <w:top w:val="nil"/>
              <w:left w:val="nil"/>
              <w:bottom w:val="nil"/>
              <w:right w:val="nil"/>
            </w:tcBorders>
          </w:tcPr>
          <w:p w14:paraId="16B0C95F"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Pr>
          <w:p w14:paraId="1729F19E"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Pr>
          <w:p w14:paraId="3F270567"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Pr>
          <w:p w14:paraId="57071370" w14:textId="77777777" w:rsidR="00553543" w:rsidRDefault="00584985">
            <w:pPr>
              <w:pBdr>
                <w:top w:val="nil"/>
                <w:left w:val="nil"/>
                <w:bottom w:val="nil"/>
                <w:right w:val="nil"/>
                <w:between w:val="nil"/>
                <w:bar w:val="nil"/>
              </w:pBdr>
              <w:rPr>
                <w:color w:val="000000"/>
              </w:rPr>
            </w:pPr>
            <w:r>
              <w:rPr>
                <w:color w:val="000000"/>
              </w:rPr>
              <w:t xml:space="preserve">Adjusted EBITDA increased 5% to $26.6 million, including the aforementioned $1.1 million, compared to $25.3 million in the first quarter of 2024. </w:t>
            </w:r>
          </w:p>
        </w:tc>
      </w:tr>
    </w:tbl>
    <w:p w14:paraId="170140A6" w14:textId="77777777" w:rsidR="00553543" w:rsidRDefault="00553543">
      <w:pPr>
        <w:pBdr>
          <w:top w:val="nil"/>
          <w:left w:val="nil"/>
          <w:bottom w:val="nil"/>
          <w:right w:val="nil"/>
          <w:between w:val="nil"/>
          <w:bar w:val="nil"/>
        </w:pBdr>
        <w:rPr>
          <w:b/>
          <w:i/>
          <w:color w:val="000000"/>
        </w:rPr>
      </w:pPr>
    </w:p>
    <w:p w14:paraId="2619CC70" w14:textId="77777777" w:rsidR="00553543" w:rsidRDefault="00584985">
      <w:pPr>
        <w:pBdr>
          <w:top w:val="nil"/>
          <w:left w:val="nil"/>
          <w:bottom w:val="nil"/>
          <w:right w:val="nil"/>
          <w:between w:val="nil"/>
          <w:bar w:val="nil"/>
        </w:pBdr>
        <w:rPr>
          <w:b/>
          <w:i/>
          <w:color w:val="000000"/>
        </w:rPr>
      </w:pPr>
      <w:r>
        <w:rPr>
          <w:b/>
          <w:i/>
          <w:color w:val="000000"/>
        </w:rPr>
        <w:t xml:space="preserve">Operating Network Update: </w:t>
      </w:r>
    </w:p>
    <w:p w14:paraId="46C4BE00" w14:textId="77777777" w:rsidR="00553543" w:rsidRDefault="00584985">
      <w:pPr>
        <w:pBdr>
          <w:top w:val="nil"/>
          <w:left w:val="nil"/>
          <w:bottom w:val="nil"/>
          <w:right w:val="nil"/>
          <w:between w:val="nil"/>
          <w:bar w:val="nil"/>
        </w:pBdr>
        <w:rPr>
          <w:color w:val="000000"/>
          <w:sz w:val="12"/>
        </w:rPr>
      </w:pPr>
      <w:r>
        <w:rPr>
          <w:color w:val="000000"/>
          <w:sz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6"/>
        <w:gridCol w:w="108"/>
        <w:gridCol w:w="9936"/>
      </w:tblGrid>
      <w:tr w:rsidR="00553543" w14:paraId="29648783" w14:textId="77777777">
        <w:tc>
          <w:tcPr>
            <w:tcW w:w="250" w:type="pct"/>
            <w:tcBorders>
              <w:top w:val="nil"/>
              <w:left w:val="nil"/>
              <w:bottom w:val="nil"/>
              <w:right w:val="nil"/>
            </w:tcBorders>
            <w:tcMar>
              <w:top w:w="0" w:type="dxa"/>
              <w:left w:w="0" w:type="dxa"/>
              <w:bottom w:w="0" w:type="dxa"/>
              <w:right w:w="0" w:type="dxa"/>
            </w:tcMar>
          </w:tcPr>
          <w:p w14:paraId="04B9F3A0"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Mar>
              <w:top w:w="0" w:type="dxa"/>
              <w:left w:w="0" w:type="dxa"/>
              <w:bottom w:w="0" w:type="dxa"/>
              <w:right w:w="0" w:type="dxa"/>
            </w:tcMar>
          </w:tcPr>
          <w:p w14:paraId="6CC3EAA2"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Mar>
              <w:top w:w="0" w:type="dxa"/>
              <w:left w:w="0" w:type="dxa"/>
              <w:bottom w:w="0" w:type="dxa"/>
              <w:right w:w="0" w:type="dxa"/>
            </w:tcMar>
          </w:tcPr>
          <w:p w14:paraId="330D3AD2"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Mar>
              <w:top w:w="0" w:type="dxa"/>
              <w:left w:w="0" w:type="dxa"/>
              <w:bottom w:w="0" w:type="dxa"/>
              <w:right w:w="0" w:type="dxa"/>
            </w:tcMar>
          </w:tcPr>
          <w:p w14:paraId="1D964868" w14:textId="77777777" w:rsidR="00553543" w:rsidRDefault="00584985">
            <w:pPr>
              <w:pBdr>
                <w:top w:val="nil"/>
                <w:left w:val="nil"/>
                <w:bottom w:val="nil"/>
                <w:right w:val="nil"/>
                <w:between w:val="nil"/>
                <w:bar w:val="nil"/>
              </w:pBdr>
              <w:rPr>
                <w:color w:val="000000"/>
                <w:shd w:val="clear" w:color="auto" w:fill="FFFFFF"/>
              </w:rPr>
            </w:pPr>
            <w:r>
              <w:rPr>
                <w:b/>
                <w:color w:val="000000"/>
                <w:shd w:val="clear" w:color="auto" w:fill="FFFFFF"/>
              </w:rPr>
              <w:t>Cruise Ship Count:</w:t>
            </w:r>
            <w:r>
              <w:rPr>
                <w:color w:val="000000"/>
                <w:shd w:val="clear" w:color="auto" w:fill="FFFFFF"/>
              </w:rPr>
              <w:t xml:space="preserve"> T</w:t>
            </w:r>
            <w:r>
              <w:rPr>
                <w:color w:val="000000"/>
              </w:rPr>
              <w:t>he Company ended the first quarter with health and wellness ce</w:t>
            </w:r>
            <w:r>
              <w:rPr>
                <w:color w:val="000000"/>
                <w:shd w:val="clear" w:color="auto" w:fill="FFFFFF"/>
              </w:rPr>
              <w:t>nters on 199 s</w:t>
            </w:r>
            <w:r>
              <w:rPr>
                <w:color w:val="000000"/>
              </w:rPr>
              <w:t>hips and an average ship count of 193 for the quarter, compared with 193 ships and an average ship count of 188 ships at the first quarter of fiscal 2024.</w:t>
            </w:r>
          </w:p>
        </w:tc>
      </w:tr>
      <w:tr w:rsidR="00553543" w14:paraId="2E04E652" w14:textId="77777777">
        <w:tc>
          <w:tcPr>
            <w:tcW w:w="250" w:type="pct"/>
            <w:tcBorders>
              <w:top w:val="nil"/>
              <w:left w:val="nil"/>
              <w:bottom w:val="nil"/>
              <w:right w:val="nil"/>
            </w:tcBorders>
            <w:tcMar>
              <w:top w:w="0" w:type="dxa"/>
              <w:left w:w="0" w:type="dxa"/>
              <w:bottom w:w="0" w:type="dxa"/>
              <w:right w:w="0" w:type="dxa"/>
            </w:tcMar>
          </w:tcPr>
          <w:p w14:paraId="10AF7C3E"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Mar>
              <w:top w:w="0" w:type="dxa"/>
              <w:left w:w="0" w:type="dxa"/>
              <w:bottom w:w="0" w:type="dxa"/>
              <w:right w:w="0" w:type="dxa"/>
            </w:tcMar>
          </w:tcPr>
          <w:p w14:paraId="373E0D39"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Mar>
              <w:top w:w="0" w:type="dxa"/>
              <w:left w:w="0" w:type="dxa"/>
              <w:bottom w:w="0" w:type="dxa"/>
              <w:right w:w="0" w:type="dxa"/>
            </w:tcMar>
          </w:tcPr>
          <w:p w14:paraId="628E0E1C"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Mar>
              <w:top w:w="0" w:type="dxa"/>
              <w:left w:w="0" w:type="dxa"/>
              <w:bottom w:w="0" w:type="dxa"/>
              <w:right w:w="0" w:type="dxa"/>
            </w:tcMar>
          </w:tcPr>
          <w:p w14:paraId="7EC0302B" w14:textId="77777777" w:rsidR="00553543" w:rsidRDefault="00584985">
            <w:pPr>
              <w:pBdr>
                <w:top w:val="nil"/>
                <w:left w:val="nil"/>
                <w:bottom w:val="nil"/>
                <w:right w:val="nil"/>
                <w:between w:val="nil"/>
                <w:bar w:val="nil"/>
              </w:pBdr>
              <w:rPr>
                <w:color w:val="000000"/>
                <w:shd w:val="clear" w:color="auto" w:fill="FFFFFF"/>
              </w:rPr>
            </w:pPr>
            <w:r>
              <w:rPr>
                <w:b/>
                <w:color w:val="000000"/>
                <w:shd w:val="clear" w:color="auto" w:fill="FFFFFF"/>
              </w:rPr>
              <w:t>Destination Resort Count:</w:t>
            </w:r>
            <w:r>
              <w:rPr>
                <w:color w:val="000000"/>
                <w:shd w:val="clear" w:color="auto" w:fill="FFFFFF"/>
              </w:rPr>
              <w:t xml:space="preserve"> T</w:t>
            </w:r>
            <w:r>
              <w:rPr>
                <w:color w:val="000000"/>
              </w:rPr>
              <w:t>he Company ended the first qua</w:t>
            </w:r>
            <w:r>
              <w:rPr>
                <w:color w:val="000000"/>
                <w:shd w:val="clear" w:color="auto" w:fill="FFFFFF"/>
              </w:rPr>
              <w:t>rter with 50 de</w:t>
            </w:r>
            <w:r>
              <w:rPr>
                <w:color w:val="000000"/>
              </w:rPr>
              <w:t xml:space="preserve">stination resort health and wellness centers and an average resort count of 49 for the quarter, compared with 51 </w:t>
            </w:r>
            <w:r>
              <w:rPr>
                <w:color w:val="000000"/>
                <w:shd w:val="clear" w:color="auto" w:fill="FFFFFF"/>
              </w:rPr>
              <w:t>de</w:t>
            </w:r>
            <w:r>
              <w:rPr>
                <w:color w:val="000000"/>
              </w:rPr>
              <w:t>stination resort health and wellness centers and an average resort count of 51 at the first quarter of fiscal 2024.</w:t>
            </w:r>
          </w:p>
        </w:tc>
      </w:tr>
      <w:tr w:rsidR="00553543" w14:paraId="1CBA7F1A" w14:textId="77777777">
        <w:trPr>
          <w:trHeight w:val="720"/>
        </w:trPr>
        <w:tc>
          <w:tcPr>
            <w:tcW w:w="250" w:type="pct"/>
            <w:tcBorders>
              <w:top w:val="nil"/>
              <w:left w:val="nil"/>
              <w:bottom w:val="nil"/>
              <w:right w:val="nil"/>
            </w:tcBorders>
            <w:tcMar>
              <w:top w:w="0" w:type="dxa"/>
              <w:left w:w="0" w:type="dxa"/>
              <w:bottom w:w="0" w:type="dxa"/>
              <w:right w:w="0" w:type="dxa"/>
            </w:tcMar>
          </w:tcPr>
          <w:p w14:paraId="0D04A5A5" w14:textId="77777777" w:rsidR="00553543" w:rsidRDefault="00584985">
            <w:pPr>
              <w:pBdr>
                <w:top w:val="nil"/>
                <w:left w:val="nil"/>
                <w:bottom w:val="nil"/>
                <w:right w:val="nil"/>
                <w:between w:val="nil"/>
                <w:bar w:val="nil"/>
              </w:pBdr>
              <w:rPr>
                <w:color w:val="000000"/>
              </w:rPr>
            </w:pPr>
            <w:r>
              <w:rPr>
                <w:color w:val="000000"/>
              </w:rPr>
              <w:lastRenderedPageBreak/>
              <w:t xml:space="preserve"> </w:t>
            </w:r>
          </w:p>
        </w:tc>
        <w:tc>
          <w:tcPr>
            <w:tcW w:w="100" w:type="pct"/>
            <w:tcBorders>
              <w:top w:val="nil"/>
              <w:left w:val="nil"/>
              <w:bottom w:val="nil"/>
              <w:right w:val="nil"/>
            </w:tcBorders>
            <w:tcMar>
              <w:top w:w="0" w:type="dxa"/>
              <w:left w:w="0" w:type="dxa"/>
              <w:bottom w:w="0" w:type="dxa"/>
              <w:right w:w="0" w:type="dxa"/>
            </w:tcMar>
          </w:tcPr>
          <w:p w14:paraId="065353DB"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Mar>
              <w:top w:w="0" w:type="dxa"/>
              <w:left w:w="0" w:type="dxa"/>
              <w:bottom w:w="0" w:type="dxa"/>
              <w:right w:w="0" w:type="dxa"/>
            </w:tcMar>
          </w:tcPr>
          <w:p w14:paraId="45C4B2C7"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Mar>
              <w:top w:w="0" w:type="dxa"/>
              <w:left w:w="0" w:type="dxa"/>
              <w:bottom w:w="0" w:type="dxa"/>
              <w:right w:w="0" w:type="dxa"/>
            </w:tcMar>
          </w:tcPr>
          <w:p w14:paraId="260B5B4E" w14:textId="77777777" w:rsidR="00553543" w:rsidRDefault="00584985">
            <w:pPr>
              <w:pBdr>
                <w:top w:val="nil"/>
                <w:left w:val="nil"/>
                <w:bottom w:val="nil"/>
                <w:right w:val="nil"/>
                <w:between w:val="nil"/>
                <w:bar w:val="nil"/>
              </w:pBdr>
              <w:rPr>
                <w:color w:val="000000"/>
                <w:shd w:val="clear" w:color="auto" w:fill="FFFFFF"/>
              </w:rPr>
            </w:pPr>
            <w:r>
              <w:rPr>
                <w:b/>
                <w:color w:val="000000"/>
                <w:shd w:val="clear" w:color="auto" w:fill="FFFFFF"/>
              </w:rPr>
              <w:t xml:space="preserve">Staff Count: </w:t>
            </w:r>
            <w:r>
              <w:rPr>
                <w:color w:val="000000"/>
                <w:shd w:val="clear" w:color="auto" w:fill="FFFFFF"/>
              </w:rPr>
              <w:t>The Co</w:t>
            </w:r>
            <w:r>
              <w:rPr>
                <w:color w:val="000000"/>
              </w:rPr>
              <w:t>mpany ended the first quarte</w:t>
            </w:r>
            <w:r>
              <w:rPr>
                <w:color w:val="000000"/>
                <w:shd w:val="clear" w:color="auto" w:fill="FFFFFF"/>
              </w:rPr>
              <w:t>r with 4,240 cruis</w:t>
            </w:r>
            <w:r>
              <w:rPr>
                <w:color w:val="000000"/>
              </w:rPr>
              <w:t>e ship personnel on vessels, compared with 4,082</w:t>
            </w:r>
            <w:r>
              <w:rPr>
                <w:color w:val="000000"/>
                <w:shd w:val="clear" w:color="auto" w:fill="FFFFFF"/>
              </w:rPr>
              <w:t xml:space="preserve"> </w:t>
            </w:r>
            <w:r>
              <w:rPr>
                <w:color w:val="000000"/>
              </w:rPr>
              <w:t>cruise ship personnel on vessels at the end of the first quarter of fiscal 2024.</w:t>
            </w:r>
          </w:p>
        </w:tc>
      </w:tr>
    </w:tbl>
    <w:p w14:paraId="39AAD207" w14:textId="77777777" w:rsidR="00553543" w:rsidRDefault="00553543">
      <w:pPr>
        <w:pBdr>
          <w:top w:val="nil"/>
          <w:left w:val="nil"/>
          <w:bottom w:val="nil"/>
          <w:right w:val="nil"/>
          <w:between w:val="nil"/>
          <w:bar w:val="nil"/>
        </w:pBdr>
        <w:rPr>
          <w:b/>
          <w:i/>
          <w:color w:val="000000"/>
        </w:rPr>
      </w:pPr>
    </w:p>
    <w:p w14:paraId="69481841" w14:textId="77777777" w:rsidR="00553543" w:rsidRDefault="00584985">
      <w:pPr>
        <w:pBdr>
          <w:top w:val="nil"/>
          <w:left w:val="nil"/>
          <w:bottom w:val="nil"/>
          <w:right w:val="nil"/>
          <w:between w:val="nil"/>
          <w:bar w:val="nil"/>
        </w:pBdr>
        <w:rPr>
          <w:b/>
          <w:i/>
          <w:color w:val="000000"/>
        </w:rPr>
      </w:pPr>
      <w:r>
        <w:rPr>
          <w:b/>
          <w:i/>
          <w:color w:val="000000"/>
        </w:rPr>
        <w:t xml:space="preserve">Liquidity Update: </w:t>
      </w:r>
    </w:p>
    <w:p w14:paraId="0DD75AEB" w14:textId="77777777" w:rsidR="00553543" w:rsidRDefault="00584985">
      <w:pPr>
        <w:pBdr>
          <w:top w:val="nil"/>
          <w:left w:val="nil"/>
          <w:bottom w:val="nil"/>
          <w:right w:val="nil"/>
          <w:between w:val="nil"/>
          <w:bar w:val="nil"/>
        </w:pBdr>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6"/>
        <w:gridCol w:w="108"/>
        <w:gridCol w:w="9936"/>
      </w:tblGrid>
      <w:tr w:rsidR="00553543" w14:paraId="05FFB016" w14:textId="77777777">
        <w:tc>
          <w:tcPr>
            <w:tcW w:w="250" w:type="pct"/>
            <w:tcBorders>
              <w:top w:val="nil"/>
              <w:left w:val="nil"/>
              <w:bottom w:val="nil"/>
              <w:right w:val="nil"/>
            </w:tcBorders>
            <w:tcMar>
              <w:top w:w="0" w:type="dxa"/>
              <w:left w:w="0" w:type="dxa"/>
              <w:bottom w:w="0" w:type="dxa"/>
              <w:right w:w="0" w:type="dxa"/>
            </w:tcMar>
          </w:tcPr>
          <w:p w14:paraId="19C7B307" w14:textId="77777777" w:rsidR="00553543" w:rsidRDefault="00584985">
            <w:pPr>
              <w:pBdr>
                <w:top w:val="nil"/>
                <w:left w:val="nil"/>
                <w:bottom w:val="nil"/>
                <w:right w:val="nil"/>
                <w:between w:val="nil"/>
                <w:bar w:val="nil"/>
              </w:pBdr>
              <w:rPr>
                <w:color w:val="000000"/>
              </w:rPr>
            </w:pPr>
            <w:r>
              <w:rPr>
                <w:color w:val="000000"/>
              </w:rPr>
              <w:t xml:space="preserve"> </w:t>
            </w:r>
          </w:p>
        </w:tc>
        <w:tc>
          <w:tcPr>
            <w:tcW w:w="100" w:type="pct"/>
            <w:tcBorders>
              <w:top w:val="nil"/>
              <w:left w:val="nil"/>
              <w:bottom w:val="nil"/>
              <w:right w:val="nil"/>
            </w:tcBorders>
            <w:tcMar>
              <w:top w:w="0" w:type="dxa"/>
              <w:left w:w="0" w:type="dxa"/>
              <w:bottom w:w="0" w:type="dxa"/>
              <w:right w:w="0" w:type="dxa"/>
            </w:tcMar>
          </w:tcPr>
          <w:p w14:paraId="1D2BDC3A"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Mar>
              <w:top w:w="0" w:type="dxa"/>
              <w:left w:w="0" w:type="dxa"/>
              <w:bottom w:w="0" w:type="dxa"/>
              <w:right w:w="0" w:type="dxa"/>
            </w:tcMar>
          </w:tcPr>
          <w:p w14:paraId="36AC57E4" w14:textId="77777777" w:rsidR="00553543" w:rsidRDefault="00584985">
            <w:pPr>
              <w:pBdr>
                <w:top w:val="nil"/>
                <w:left w:val="nil"/>
                <w:bottom w:val="nil"/>
                <w:right w:val="nil"/>
                <w:between w:val="nil"/>
                <w:bar w:val="nil"/>
              </w:pBdr>
              <w:rPr>
                <w:color w:val="000000"/>
              </w:rPr>
            </w:pPr>
            <w:r>
              <w:rPr>
                <w:color w:val="000000"/>
              </w:rPr>
              <w:t xml:space="preserve"> </w:t>
            </w:r>
          </w:p>
        </w:tc>
        <w:tc>
          <w:tcPr>
            <w:tcW w:w="4600" w:type="pct"/>
            <w:tcBorders>
              <w:top w:val="nil"/>
              <w:left w:val="nil"/>
              <w:bottom w:val="nil"/>
              <w:right w:val="nil"/>
            </w:tcBorders>
            <w:tcMar>
              <w:top w:w="0" w:type="dxa"/>
              <w:left w:w="0" w:type="dxa"/>
              <w:bottom w:w="0" w:type="dxa"/>
              <w:right w:w="0" w:type="dxa"/>
            </w:tcMar>
          </w:tcPr>
          <w:p w14:paraId="0CB48FDC" w14:textId="77777777" w:rsidR="00553543" w:rsidRDefault="00584985">
            <w:pPr>
              <w:pBdr>
                <w:top w:val="nil"/>
                <w:left w:val="nil"/>
                <w:bottom w:val="nil"/>
                <w:right w:val="nil"/>
                <w:between w:val="nil"/>
                <w:bar w:val="nil"/>
              </w:pBdr>
              <w:rPr>
                <w:color w:val="000000"/>
              </w:rPr>
            </w:pPr>
            <w:r>
              <w:rPr>
                <w:color w:val="000000"/>
              </w:rPr>
              <w:t>Cash at March 31, 2025 totaled $23.8 million after repurchasing $37.9 million shares and paying a $4.2 million dividend in the first quarter. Liquidity, including the Company’s fully undrawn $50 million credit facility, totaled $73.8 million at March 31, 2025.</w:t>
            </w:r>
          </w:p>
        </w:tc>
      </w:tr>
      <w:tr w:rsidR="00553543" w14:paraId="70EE2F5A" w14:textId="77777777">
        <w:trPr>
          <w:trHeight w:val="274"/>
        </w:trPr>
        <w:tc>
          <w:tcPr>
            <w:tcW w:w="250" w:type="pct"/>
            <w:tcBorders>
              <w:top w:val="nil"/>
              <w:left w:val="nil"/>
              <w:bottom w:val="nil"/>
              <w:right w:val="nil"/>
            </w:tcBorders>
            <w:tcMar>
              <w:top w:w="0" w:type="dxa"/>
              <w:left w:w="0" w:type="dxa"/>
              <w:bottom w:w="0" w:type="dxa"/>
              <w:right w:w="0" w:type="dxa"/>
            </w:tcMar>
          </w:tcPr>
          <w:p w14:paraId="3D12E235" w14:textId="77777777" w:rsidR="00553543" w:rsidRDefault="00553543">
            <w:pPr>
              <w:pBdr>
                <w:top w:val="nil"/>
                <w:left w:val="nil"/>
                <w:bottom w:val="nil"/>
                <w:right w:val="nil"/>
                <w:between w:val="nil"/>
                <w:bar w:val="nil"/>
              </w:pBdr>
              <w:rPr>
                <w:color w:val="000000"/>
              </w:rPr>
            </w:pPr>
          </w:p>
        </w:tc>
        <w:tc>
          <w:tcPr>
            <w:tcW w:w="100" w:type="pct"/>
            <w:tcBorders>
              <w:top w:val="nil"/>
              <w:left w:val="nil"/>
              <w:bottom w:val="nil"/>
              <w:right w:val="nil"/>
            </w:tcBorders>
            <w:tcMar>
              <w:top w:w="0" w:type="dxa"/>
              <w:left w:w="0" w:type="dxa"/>
              <w:bottom w:w="0" w:type="dxa"/>
              <w:right w:w="0" w:type="dxa"/>
            </w:tcMar>
          </w:tcPr>
          <w:p w14:paraId="187CD729" w14:textId="77777777" w:rsidR="00553543" w:rsidRDefault="00584985">
            <w:pPr>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tcMar>
              <w:top w:w="0" w:type="dxa"/>
              <w:left w:w="0" w:type="dxa"/>
              <w:bottom w:w="0" w:type="dxa"/>
              <w:right w:w="0" w:type="dxa"/>
            </w:tcMar>
          </w:tcPr>
          <w:p w14:paraId="0856F373" w14:textId="77777777" w:rsidR="00553543" w:rsidRDefault="00553543">
            <w:pPr>
              <w:pBdr>
                <w:top w:val="nil"/>
                <w:left w:val="nil"/>
                <w:bottom w:val="nil"/>
                <w:right w:val="nil"/>
                <w:between w:val="nil"/>
                <w:bar w:val="nil"/>
              </w:pBdr>
              <w:rPr>
                <w:color w:val="000000"/>
              </w:rPr>
            </w:pPr>
          </w:p>
        </w:tc>
        <w:tc>
          <w:tcPr>
            <w:tcW w:w="4600" w:type="pct"/>
            <w:tcBorders>
              <w:top w:val="nil"/>
              <w:left w:val="nil"/>
              <w:bottom w:val="nil"/>
              <w:right w:val="nil"/>
            </w:tcBorders>
            <w:tcMar>
              <w:top w:w="0" w:type="dxa"/>
              <w:left w:w="0" w:type="dxa"/>
              <w:bottom w:w="0" w:type="dxa"/>
              <w:right w:w="0" w:type="dxa"/>
            </w:tcMar>
          </w:tcPr>
          <w:p w14:paraId="0AC6350F" w14:textId="77777777" w:rsidR="00553543" w:rsidRDefault="00584985">
            <w:pPr>
              <w:pBdr>
                <w:top w:val="nil"/>
                <w:left w:val="nil"/>
                <w:bottom w:val="nil"/>
                <w:right w:val="nil"/>
                <w:between w:val="nil"/>
                <w:bar w:val="nil"/>
              </w:pBdr>
              <w:rPr>
                <w:color w:val="000000"/>
              </w:rPr>
            </w:pPr>
            <w:r>
              <w:rPr>
                <w:color w:val="000000"/>
              </w:rPr>
              <w:t>The Company expects to generate positive Cash flow from operations for fiscal year 2025.</w:t>
            </w:r>
          </w:p>
        </w:tc>
      </w:tr>
    </w:tbl>
    <w:p w14:paraId="7C9B84A8" w14:textId="77777777" w:rsidR="00553543" w:rsidRDefault="00553543">
      <w:pPr>
        <w:pBdr>
          <w:top w:val="nil"/>
          <w:left w:val="nil"/>
          <w:bottom w:val="nil"/>
          <w:right w:val="nil"/>
          <w:between w:val="nil"/>
          <w:bar w:val="nil"/>
        </w:pBdr>
        <w:rPr>
          <w:i/>
          <w:color w:val="000000"/>
        </w:rPr>
      </w:pPr>
    </w:p>
    <w:p w14:paraId="753D0FB3" w14:textId="77777777" w:rsidR="00553543" w:rsidRDefault="00584985">
      <w:pPr>
        <w:pBdr>
          <w:top w:val="nil"/>
          <w:left w:val="nil"/>
          <w:bottom w:val="nil"/>
          <w:right w:val="nil"/>
          <w:between w:val="nil"/>
          <w:bar w:val="nil"/>
        </w:pBdr>
        <w:rPr>
          <w:i/>
          <w:color w:val="000000"/>
        </w:rPr>
      </w:pPr>
      <w:r>
        <w:rPr>
          <w:i/>
          <w:color w:val="000000"/>
        </w:rPr>
        <w:t>The Company’s results are reported in this press release on a GAAP basis and on an as adjusted non-GAAP basis. A reconciliation of GAAP to non-GAAP financial information is provided at the end of this press release. This press release also refers to Adjusted EBITDA and Adjusted Net Income (non-GAAP financial measures), the definitions and reconciliations to their nearest GAAP equivalents for which are presented below.</w:t>
      </w:r>
    </w:p>
    <w:p w14:paraId="42902ACE" w14:textId="77777777" w:rsidR="00553543" w:rsidRDefault="00584985">
      <w:pPr>
        <w:pBdr>
          <w:top w:val="nil"/>
          <w:left w:val="nil"/>
          <w:bottom w:val="nil"/>
          <w:right w:val="nil"/>
          <w:between w:val="nil"/>
          <w:bar w:val="nil"/>
        </w:pBdr>
        <w:rPr>
          <w:b/>
          <w:color w:val="000000"/>
        </w:rPr>
      </w:pPr>
      <w:r>
        <w:rPr>
          <w:b/>
          <w:color w:val="000000"/>
        </w:rPr>
        <w:t xml:space="preserve"> </w:t>
      </w:r>
    </w:p>
    <w:p w14:paraId="2FC70684" w14:textId="77777777" w:rsidR="00553543" w:rsidRDefault="00584985">
      <w:pPr>
        <w:pBdr>
          <w:top w:val="nil"/>
          <w:left w:val="nil"/>
          <w:bottom w:val="nil"/>
          <w:right w:val="nil"/>
          <w:between w:val="nil"/>
          <w:bar w:val="nil"/>
        </w:pBdr>
        <w:rPr>
          <w:b/>
          <w:color w:val="000000"/>
        </w:rPr>
      </w:pPr>
      <w:r>
        <w:rPr>
          <w:b/>
          <w:color w:val="000000"/>
        </w:rPr>
        <w:t xml:space="preserve">First Quarter Ended March 31, 2025 Compared to March 31, 2024 </w:t>
      </w:r>
    </w:p>
    <w:p w14:paraId="0151BC17" w14:textId="77777777" w:rsidR="00553543" w:rsidRDefault="00553543">
      <w:pPr>
        <w:pBdr>
          <w:top w:val="nil"/>
          <w:left w:val="nil"/>
          <w:bottom w:val="nil"/>
          <w:right w:val="nil"/>
          <w:between w:val="nil"/>
          <w:bar w:val="nil"/>
        </w:pBdr>
        <w:rPr>
          <w:b/>
          <w:color w:val="000000"/>
        </w:rPr>
      </w:pPr>
    </w:p>
    <w:p w14:paraId="37A9726E"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shd w:val="clear" w:color="auto" w:fill="FFFFFF"/>
        </w:rPr>
      </w:pPr>
      <w:r>
        <w:rPr>
          <w:color w:val="000000"/>
          <w:shd w:val="clear" w:color="auto" w:fill="FFFFFF"/>
        </w:rPr>
        <w:t xml:space="preserve">Total revenues increased 4% to $219.6 million compared to $211.2 million for the first quarter of 2024. The increases in Service revenues and Product revenues were driven by a 2% increase in revenue days, which impacted revenues by $5.3 million, and a 2% increase in average guest spend, which positively impacted revenues by $4.7 million. Contributing to the increased volume and spend was $2.3 million in increased pre-booked revenues at health and wellness centers included in our ship count as of March 31, 2025. This was offset by a $1.5 million decrease in our land-based spa business, partially due to the closure of hotels where we had previously operated. </w:t>
      </w:r>
    </w:p>
    <w:p w14:paraId="7A97C904"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 xml:space="preserve">Cost of services were $148.2 million compared to $144.0 million for the first quarter of 2024. The increase was primarily attributable to costs associated with increased Service revenues of $178.5 million in the quarter from our health and wellness centers at sea and on land, compared with Service revenues of $172.2 million in the first quarter of 2024. </w:t>
      </w:r>
    </w:p>
    <w:p w14:paraId="2C0788B4"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Cost of products were $35.3 million compared to $33.5 million in the first quarter of 2024. The increase was primarily attributable to costs associated with increased Product revenues of $41.1 million for the quarter from our health and wellness centers at sea and on land, compared to Product revenues of $39.0 million for the first quarter of 2024.</w:t>
      </w:r>
    </w:p>
    <w:p w14:paraId="38142ABF"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Salaries, benefits and payroll taxes were $11.0 million compared to $8.5 million in the first quarter of 2024.  The increase was primarily attributable to expenses associated with the termination of employment of the Company’s former Chief Commercial Officer, including $1.1 million of severance expense and $1.4 million of expense related to vesting treatment with respect to restricted stock units and performance stock units.</w:t>
      </w:r>
    </w:p>
    <w:p w14:paraId="78B8B48E" w14:textId="531C64EF"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 xml:space="preserve">Net income was $15.3 million, or Net income per diluted share of $0.15, as compared to Net income of $21.2 million, or Net income per diluted share of $0.21, for the first quarter of 2024. The change was primarily attributable to a $7.7 million </w:t>
      </w:r>
      <w:r w:rsidR="00865664">
        <w:rPr>
          <w:color w:val="000000"/>
        </w:rPr>
        <w:t xml:space="preserve">benefit resulting from </w:t>
      </w:r>
      <w:r>
        <w:rPr>
          <w:color w:val="000000"/>
        </w:rPr>
        <w:t xml:space="preserve">the </w:t>
      </w:r>
      <w:r w:rsidR="00865664">
        <w:rPr>
          <w:color w:val="000000"/>
        </w:rPr>
        <w:t xml:space="preserve">change in the </w:t>
      </w:r>
      <w:r>
        <w:rPr>
          <w:color w:val="000000"/>
        </w:rPr>
        <w:t xml:space="preserve">fair value of warrant liabilities </w:t>
      </w:r>
      <w:r w:rsidR="00865664">
        <w:rPr>
          <w:color w:val="000000"/>
        </w:rPr>
        <w:t>in</w:t>
      </w:r>
      <w:r>
        <w:rPr>
          <w:color w:val="000000"/>
        </w:rPr>
        <w:t xml:space="preserve"> the first quarter of 2024</w:t>
      </w:r>
      <w:r w:rsidR="00865664">
        <w:rPr>
          <w:color w:val="000000"/>
        </w:rPr>
        <w:t>. The first quarter of 2025 benefited from</w:t>
      </w:r>
      <w:r>
        <w:rPr>
          <w:color w:val="000000"/>
        </w:rPr>
        <w:t xml:space="preserve"> </w:t>
      </w:r>
      <w:r w:rsidR="00865664">
        <w:rPr>
          <w:color w:val="000000"/>
        </w:rPr>
        <w:t xml:space="preserve">a </w:t>
      </w:r>
      <w:r>
        <w:rPr>
          <w:color w:val="000000"/>
        </w:rPr>
        <w:t xml:space="preserve">$1.8 million decrease in Interest expense. The change in fair value of warrant liabilities was the result of the remeasurement to fair value of the warrants exercised during the first quarter of 2024, reflecting changes in market prices of our common shares and other observable inputs deriving the value of these financial instruments. The $1.8 million decrease in Interest expense, net, was primarily attributable to lower debt balances and lower effective interest rates.  </w:t>
      </w:r>
    </w:p>
    <w:p w14:paraId="60F39D40"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 xml:space="preserve">Adjusted net income was $22.6 million, or Adjusted net income per diluted share of $0.22, as compared to Adjusted net income of $19.3 million, or Adjusted net income per diluted share of $0.19, for the first quarter of 2024. </w:t>
      </w:r>
    </w:p>
    <w:p w14:paraId="7CE48F37" w14:textId="77777777" w:rsidR="00553543" w:rsidRDefault="00584985">
      <w:pPr>
        <w:numPr>
          <w:ilvl w:val="0"/>
          <w:numId w:val="2"/>
        </w:numPr>
        <w:pBdr>
          <w:top w:val="nil"/>
          <w:left w:val="nil"/>
          <w:bottom w:val="nil"/>
          <w:right w:val="nil"/>
          <w:between w:val="nil"/>
          <w:bar w:val="nil"/>
        </w:pBdr>
        <w:tabs>
          <w:tab w:val="clear" w:pos="0"/>
        </w:tabs>
        <w:spacing w:before="120"/>
        <w:ind w:hanging="490"/>
        <w:rPr>
          <w:color w:val="000000"/>
        </w:rPr>
      </w:pPr>
      <w:r>
        <w:rPr>
          <w:color w:val="000000"/>
        </w:rPr>
        <w:t xml:space="preserve">Adjusted EBITDA was $26.6 million, inclusive of $1.1 million of cash personnel severance expense, compared to Adjusted EBITDA of $25.3 million in the first quarter of 2024. </w:t>
      </w:r>
    </w:p>
    <w:p w14:paraId="6757318E" w14:textId="77777777" w:rsidR="00553543" w:rsidRDefault="00553543">
      <w:pPr>
        <w:pBdr>
          <w:top w:val="nil"/>
          <w:left w:val="nil"/>
          <w:bottom w:val="nil"/>
          <w:right w:val="nil"/>
          <w:between w:val="nil"/>
          <w:bar w:val="nil"/>
        </w:pBdr>
        <w:rPr>
          <w:color w:val="000000"/>
        </w:rPr>
      </w:pPr>
    </w:p>
    <w:p w14:paraId="1715091A" w14:textId="77777777" w:rsidR="00553543" w:rsidRDefault="00584985">
      <w:pPr>
        <w:pBdr>
          <w:top w:val="nil"/>
          <w:left w:val="nil"/>
          <w:bottom w:val="nil"/>
          <w:right w:val="nil"/>
          <w:between w:val="nil"/>
          <w:bar w:val="nil"/>
        </w:pBdr>
        <w:rPr>
          <w:b/>
          <w:color w:val="000000"/>
        </w:rPr>
      </w:pPr>
      <w:r>
        <w:rPr>
          <w:b/>
          <w:color w:val="000000"/>
        </w:rPr>
        <w:t>Balance Sheet and Cash Flow Highlights</w:t>
      </w:r>
    </w:p>
    <w:p w14:paraId="1D0AEF3B" w14:textId="77777777" w:rsidR="00553543" w:rsidRDefault="00584985">
      <w:pPr>
        <w:numPr>
          <w:ilvl w:val="0"/>
          <w:numId w:val="4"/>
        </w:numPr>
        <w:pBdr>
          <w:top w:val="nil"/>
          <w:left w:val="nil"/>
          <w:bottom w:val="nil"/>
          <w:right w:val="nil"/>
          <w:between w:val="nil"/>
          <w:bar w:val="nil"/>
        </w:pBdr>
        <w:tabs>
          <w:tab w:val="clear" w:pos="0"/>
        </w:tabs>
        <w:spacing w:before="120"/>
        <w:ind w:hanging="490"/>
        <w:rPr>
          <w:color w:val="000000"/>
        </w:rPr>
      </w:pPr>
      <w:r>
        <w:rPr>
          <w:color w:val="000000"/>
        </w:rPr>
        <w:t>Cash at quarter-end March 31, 2025 was $23.8 million, compared to $58.6 million at December 31, 2024.  The reduction in cash balance was primarily attributable to use of cash to fund common share repurchases of $37.9 million during the first quarter.</w:t>
      </w:r>
    </w:p>
    <w:p w14:paraId="47887A88" w14:textId="77777777" w:rsidR="00553543" w:rsidRDefault="00584985">
      <w:pPr>
        <w:numPr>
          <w:ilvl w:val="0"/>
          <w:numId w:val="4"/>
        </w:numPr>
        <w:pBdr>
          <w:top w:val="nil"/>
          <w:left w:val="nil"/>
          <w:bottom w:val="nil"/>
          <w:right w:val="nil"/>
          <w:between w:val="nil"/>
          <w:bar w:val="nil"/>
        </w:pBdr>
        <w:tabs>
          <w:tab w:val="clear" w:pos="0"/>
        </w:tabs>
        <w:spacing w:before="120"/>
        <w:ind w:hanging="490"/>
        <w:rPr>
          <w:color w:val="000000"/>
        </w:rPr>
      </w:pPr>
      <w:r>
        <w:rPr>
          <w:color w:val="000000"/>
        </w:rPr>
        <w:t>Total debt, net of deferred financing costs, was $97.4 million at March 31, 2025, compared to $98.6 million at December 31, 2024.  The $50 million revolving facility remained undrawn at March 31, 2025.</w:t>
      </w:r>
    </w:p>
    <w:p w14:paraId="59D193EA" w14:textId="77777777" w:rsidR="00553543" w:rsidRDefault="00553543">
      <w:pPr>
        <w:pBdr>
          <w:top w:val="nil"/>
          <w:left w:val="nil"/>
          <w:bottom w:val="nil"/>
          <w:right w:val="nil"/>
          <w:between w:val="nil"/>
          <w:bar w:val="nil"/>
        </w:pBdr>
        <w:rPr>
          <w:b/>
          <w:color w:val="000000"/>
        </w:rPr>
      </w:pPr>
    </w:p>
    <w:p w14:paraId="5824500C" w14:textId="77777777" w:rsidR="00553543" w:rsidRDefault="00584985">
      <w:pPr>
        <w:pBdr>
          <w:top w:val="nil"/>
          <w:left w:val="nil"/>
          <w:bottom w:val="nil"/>
          <w:right w:val="nil"/>
          <w:between w:val="nil"/>
          <w:bar w:val="nil"/>
        </w:pBdr>
        <w:rPr>
          <w:b/>
          <w:color w:val="000000"/>
        </w:rPr>
      </w:pPr>
      <w:r>
        <w:rPr>
          <w:b/>
          <w:color w:val="000000"/>
        </w:rPr>
        <w:t>Quarterly Dividend</w:t>
      </w:r>
    </w:p>
    <w:p w14:paraId="041FC69D" w14:textId="77777777" w:rsidR="00553543" w:rsidRDefault="00553543">
      <w:pPr>
        <w:pBdr>
          <w:top w:val="nil"/>
          <w:left w:val="nil"/>
          <w:bottom w:val="nil"/>
          <w:right w:val="nil"/>
          <w:between w:val="nil"/>
          <w:bar w:val="nil"/>
        </w:pBdr>
        <w:rPr>
          <w:color w:val="000000"/>
        </w:rPr>
      </w:pPr>
    </w:p>
    <w:p w14:paraId="521317E0" w14:textId="77777777" w:rsidR="00553543" w:rsidRDefault="00584985">
      <w:pPr>
        <w:pBdr>
          <w:top w:val="nil"/>
          <w:left w:val="nil"/>
          <w:bottom w:val="nil"/>
          <w:right w:val="nil"/>
          <w:between w:val="nil"/>
          <w:bar w:val="nil"/>
        </w:pBdr>
        <w:rPr>
          <w:color w:val="000000"/>
          <w:shd w:val="clear" w:color="auto" w:fill="FFFFFF"/>
        </w:rPr>
      </w:pPr>
      <w:r>
        <w:rPr>
          <w:color w:val="000000"/>
          <w:shd w:val="clear" w:color="auto" w:fill="FFFFFF"/>
        </w:rPr>
        <w:t>The Company announced today that the Board of Directors approved a quarterly dividend payment of $0.04 per common share payable on June 4, 2025 to shareholders of record as of the close of business on May 21, 2025.</w:t>
      </w:r>
    </w:p>
    <w:p w14:paraId="4187D7F9" w14:textId="77777777" w:rsidR="00553543" w:rsidRDefault="00553543">
      <w:pPr>
        <w:pBdr>
          <w:top w:val="nil"/>
          <w:left w:val="nil"/>
          <w:bottom w:val="nil"/>
          <w:right w:val="nil"/>
          <w:between w:val="nil"/>
          <w:bar w:val="nil"/>
        </w:pBdr>
        <w:rPr>
          <w:b/>
          <w:color w:val="000000"/>
        </w:rPr>
      </w:pPr>
    </w:p>
    <w:p w14:paraId="13753F01" w14:textId="77777777" w:rsidR="00553543" w:rsidRDefault="00584985">
      <w:pPr>
        <w:pBdr>
          <w:top w:val="nil"/>
          <w:left w:val="nil"/>
          <w:bottom w:val="nil"/>
          <w:right w:val="nil"/>
          <w:between w:val="nil"/>
          <w:bar w:val="nil"/>
        </w:pBdr>
        <w:rPr>
          <w:b/>
          <w:color w:val="000000"/>
        </w:rPr>
      </w:pPr>
      <w:r>
        <w:rPr>
          <w:b/>
          <w:color w:val="000000"/>
        </w:rPr>
        <w:t>Share Repurchase Program</w:t>
      </w:r>
    </w:p>
    <w:p w14:paraId="13FED126" w14:textId="77777777" w:rsidR="00553543" w:rsidRDefault="00584985">
      <w:pPr>
        <w:pBdr>
          <w:top w:val="nil"/>
          <w:left w:val="nil"/>
          <w:bottom w:val="nil"/>
          <w:right w:val="nil"/>
          <w:between w:val="nil"/>
          <w:bar w:val="nil"/>
        </w:pBdr>
        <w:rPr>
          <w:color w:val="000000"/>
        </w:rPr>
      </w:pPr>
      <w:r>
        <w:rPr>
          <w:color w:val="000000"/>
        </w:rPr>
        <w:t> </w:t>
      </w:r>
    </w:p>
    <w:p w14:paraId="31AA52BB" w14:textId="77777777" w:rsidR="00553543" w:rsidRDefault="00584985">
      <w:pPr>
        <w:pBdr>
          <w:top w:val="nil"/>
          <w:left w:val="nil"/>
          <w:bottom w:val="nil"/>
          <w:right w:val="nil"/>
          <w:between w:val="nil"/>
          <w:bar w:val="nil"/>
        </w:pBdr>
        <w:rPr>
          <w:color w:val="000000"/>
        </w:rPr>
      </w:pPr>
      <w:r>
        <w:rPr>
          <w:color w:val="000000"/>
        </w:rPr>
        <w:t xml:space="preserve">Subsequent to quarter end, the Board of Directors approved a new share repurchase program authorizing the Company to repurchase up to $75 million of its common shares. The share repurchases will be funded through the Company’s available surplus cash.  </w:t>
      </w:r>
    </w:p>
    <w:p w14:paraId="6E34A50D" w14:textId="77777777" w:rsidR="00553543" w:rsidRDefault="00584985">
      <w:pPr>
        <w:pBdr>
          <w:top w:val="nil"/>
          <w:left w:val="nil"/>
          <w:bottom w:val="nil"/>
          <w:right w:val="nil"/>
          <w:between w:val="nil"/>
          <w:bar w:val="nil"/>
        </w:pBdr>
        <w:rPr>
          <w:color w:val="000000"/>
        </w:rPr>
      </w:pPr>
      <w:r>
        <w:rPr>
          <w:color w:val="000000"/>
        </w:rPr>
        <w:t> </w:t>
      </w:r>
    </w:p>
    <w:p w14:paraId="74ACCABF" w14:textId="77777777" w:rsidR="00553543" w:rsidRDefault="00584985">
      <w:pPr>
        <w:pBdr>
          <w:top w:val="nil"/>
          <w:left w:val="nil"/>
          <w:bottom w:val="nil"/>
          <w:right w:val="nil"/>
          <w:between w:val="nil"/>
          <w:bar w:val="nil"/>
        </w:pBdr>
        <w:rPr>
          <w:color w:val="000000"/>
        </w:rPr>
      </w:pPr>
      <w:r>
        <w:rPr>
          <w:color w:val="000000"/>
        </w:rPr>
        <w:t>During the first quarter of fiscal 2025, the Company repurchased a total of 2.1 million shares for $37.9 million under its previous $50 million share repurchase program. As of March 31, 2025, the Company had $900,000 remaining available under the previous share repurchase program, which is now cancelled as a result of the new authorization. Since initiating the share repurchase program on May 1, 2024, the Company repurchased a total of 2.8 million shares for $49.1 million.</w:t>
      </w:r>
    </w:p>
    <w:p w14:paraId="23EAF84D" w14:textId="77777777" w:rsidR="00553543" w:rsidRDefault="00584985">
      <w:pPr>
        <w:pBdr>
          <w:top w:val="nil"/>
          <w:left w:val="nil"/>
          <w:bottom w:val="nil"/>
          <w:right w:val="nil"/>
          <w:between w:val="nil"/>
          <w:bar w:val="nil"/>
        </w:pBdr>
        <w:rPr>
          <w:color w:val="000000"/>
        </w:rPr>
      </w:pPr>
      <w:r>
        <w:rPr>
          <w:color w:val="000000"/>
        </w:rPr>
        <w:t> </w:t>
      </w:r>
    </w:p>
    <w:p w14:paraId="08445FA4" w14:textId="77777777" w:rsidR="00553543" w:rsidRDefault="00584985">
      <w:pPr>
        <w:pBdr>
          <w:top w:val="nil"/>
          <w:left w:val="nil"/>
          <w:bottom w:val="nil"/>
          <w:right w:val="nil"/>
          <w:between w:val="nil"/>
          <w:bar w:val="nil"/>
        </w:pBdr>
        <w:rPr>
          <w:color w:val="000000"/>
        </w:rPr>
      </w:pPr>
      <w:r>
        <w:rPr>
          <w:color w:val="000000"/>
        </w:rPr>
        <w:t>The Company may repurchase shares of its outstanding common stock from time to time on the open market, including through Rule 10b5-1 plans, in privately negotiated transactions, through block purchases, or otherwise in compliance with applicable laws, including Rule 10b-18 of the Securities Exchange Act of 1934, as amended. The timing and amount of share repurchases will depend on a variety of factors, including business and market conditions. The share repurchase program may be suspended, modified, or discontinued at any time and the Company has no obligation to repurchase any specific value or number of its common shares under the program.</w:t>
      </w:r>
    </w:p>
    <w:p w14:paraId="4215DCDC" w14:textId="77777777" w:rsidR="00553543" w:rsidRDefault="00584985">
      <w:pPr>
        <w:pBdr>
          <w:top w:val="nil"/>
          <w:left w:val="nil"/>
          <w:bottom w:val="nil"/>
          <w:right w:val="nil"/>
          <w:between w:val="nil"/>
          <w:bar w:val="nil"/>
        </w:pBdr>
        <w:rPr>
          <w:color w:val="000000"/>
        </w:rPr>
      </w:pPr>
      <w:r>
        <w:rPr>
          <w:color w:val="000000"/>
        </w:rPr>
        <w:t xml:space="preserve"> </w:t>
      </w:r>
    </w:p>
    <w:p w14:paraId="5BC6CC4C" w14:textId="77777777" w:rsidR="00553543" w:rsidRDefault="00584985">
      <w:pPr>
        <w:pBdr>
          <w:top w:val="nil"/>
          <w:left w:val="nil"/>
          <w:bottom w:val="nil"/>
          <w:right w:val="nil"/>
          <w:between w:val="nil"/>
          <w:bar w:val="nil"/>
        </w:pBdr>
        <w:rPr>
          <w:b/>
          <w:color w:val="000000"/>
        </w:rPr>
      </w:pPr>
      <w:r>
        <w:rPr>
          <w:b/>
          <w:color w:val="000000"/>
        </w:rPr>
        <w:t>Second Quarter 2025 and Fiscal Year 2025 Guidance</w:t>
      </w:r>
    </w:p>
    <w:p w14:paraId="74985A6B" w14:textId="77777777" w:rsidR="00553543" w:rsidRDefault="00553543">
      <w:pPr>
        <w:pBdr>
          <w:top w:val="nil"/>
          <w:left w:val="nil"/>
          <w:bottom w:val="nil"/>
          <w:right w:val="nil"/>
          <w:between w:val="nil"/>
          <w:bar w:val="nil"/>
        </w:pBdr>
        <w:rPr>
          <w:color w:val="000000"/>
          <w:shd w:val="clear" w:color="auto" w:fil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5054"/>
        <w:gridCol w:w="214"/>
        <w:gridCol w:w="214"/>
        <w:gridCol w:w="2447"/>
        <w:gridCol w:w="214"/>
        <w:gridCol w:w="214"/>
        <w:gridCol w:w="2443"/>
      </w:tblGrid>
      <w:tr w:rsidR="00553543" w14:paraId="175E8182" w14:textId="77777777">
        <w:trPr>
          <w:jc w:val="center"/>
        </w:trPr>
        <w:tc>
          <w:tcPr>
            <w:tcW w:w="2340" w:type="pct"/>
            <w:tcBorders>
              <w:top w:val="nil"/>
              <w:left w:val="nil"/>
              <w:bottom w:val="nil"/>
              <w:right w:val="nil"/>
            </w:tcBorders>
            <w:shd w:val="clear" w:color="auto" w:fill="FFFFFF"/>
            <w:tcMar>
              <w:top w:w="0" w:type="dxa"/>
              <w:right w:w="0" w:type="dxa"/>
            </w:tcMar>
            <w:vAlign w:val="bottom"/>
          </w:tcPr>
          <w:p w14:paraId="13D1C0C5" w14:textId="77777777" w:rsidR="00553543" w:rsidRDefault="00553543">
            <w:pPr>
              <w:keepNext/>
              <w:pBdr>
                <w:top w:val="nil"/>
                <w:left w:val="nil"/>
                <w:bottom w:val="nil"/>
                <w:right w:val="nil"/>
                <w:between w:val="nil"/>
                <w:bar w:val="nil"/>
              </w:pBdr>
              <w:jc w:val="center"/>
              <w:rPr>
                <w:b/>
                <w:color w:val="000000"/>
              </w:rPr>
            </w:pPr>
          </w:p>
        </w:tc>
        <w:tc>
          <w:tcPr>
            <w:tcW w:w="99" w:type="pct"/>
            <w:tcBorders>
              <w:top w:val="nil"/>
              <w:left w:val="nil"/>
              <w:bottom w:val="nil"/>
              <w:right w:val="nil"/>
            </w:tcBorders>
            <w:shd w:val="clear" w:color="auto" w:fill="FFFFFF"/>
            <w:tcMar>
              <w:top w:w="0" w:type="dxa"/>
              <w:right w:w="0" w:type="dxa"/>
            </w:tcMar>
            <w:vAlign w:val="bottom"/>
          </w:tcPr>
          <w:p w14:paraId="70DD0FD1" w14:textId="77777777" w:rsidR="00553543" w:rsidRDefault="00553543">
            <w:pPr>
              <w:keepNext/>
              <w:pBdr>
                <w:top w:val="nil"/>
                <w:left w:val="nil"/>
                <w:bottom w:val="nil"/>
                <w:right w:val="nil"/>
                <w:between w:val="nil"/>
                <w:bar w:val="nil"/>
              </w:pBdr>
              <w:rPr>
                <w:b/>
                <w:color w:val="000000"/>
              </w:rPr>
            </w:pPr>
          </w:p>
        </w:tc>
        <w:tc>
          <w:tcPr>
            <w:tcW w:w="0" w:type="auto"/>
            <w:gridSpan w:val="2"/>
            <w:tcBorders>
              <w:top w:val="nil"/>
              <w:left w:val="nil"/>
              <w:bottom w:val="single" w:sz="4" w:space="0" w:color="000000"/>
              <w:right w:val="nil"/>
            </w:tcBorders>
            <w:shd w:val="clear" w:color="auto" w:fill="FFFFFF"/>
            <w:tcMar>
              <w:top w:w="0" w:type="dxa"/>
              <w:right w:w="0" w:type="dxa"/>
            </w:tcMar>
            <w:vAlign w:val="bottom"/>
          </w:tcPr>
          <w:p w14:paraId="6BB4C55A" w14:textId="77777777" w:rsidR="00553543" w:rsidRDefault="00584985">
            <w:pPr>
              <w:keepNext/>
              <w:pBdr>
                <w:top w:val="nil"/>
                <w:left w:val="nil"/>
                <w:bottom w:val="nil"/>
                <w:right w:val="nil"/>
                <w:between w:val="nil"/>
                <w:bar w:val="nil"/>
              </w:pBdr>
              <w:jc w:val="center"/>
              <w:rPr>
                <w:b/>
                <w:color w:val="000000"/>
              </w:rPr>
            </w:pPr>
            <w:r>
              <w:rPr>
                <w:b/>
                <w:color w:val="000000"/>
              </w:rPr>
              <w:t>Three Months Ended June 30, 2025</w:t>
            </w:r>
          </w:p>
        </w:tc>
        <w:tc>
          <w:tcPr>
            <w:tcW w:w="99" w:type="pct"/>
            <w:tcBorders>
              <w:top w:val="nil"/>
              <w:left w:val="nil"/>
              <w:bottom w:val="nil"/>
              <w:right w:val="nil"/>
            </w:tcBorders>
            <w:shd w:val="clear" w:color="auto" w:fill="FFFFFF"/>
            <w:tcMar>
              <w:top w:w="0" w:type="dxa"/>
              <w:right w:w="0" w:type="dxa"/>
            </w:tcMar>
            <w:vAlign w:val="bottom"/>
          </w:tcPr>
          <w:p w14:paraId="1103F46D" w14:textId="77777777" w:rsidR="00553543" w:rsidRDefault="00553543">
            <w:pPr>
              <w:keepNext/>
              <w:pBdr>
                <w:top w:val="nil"/>
                <w:left w:val="nil"/>
                <w:bottom w:val="nil"/>
                <w:right w:val="nil"/>
                <w:between w:val="nil"/>
                <w:bar w:val="nil"/>
              </w:pBdr>
              <w:rPr>
                <w:b/>
                <w:color w:val="000000"/>
              </w:rPr>
            </w:pPr>
          </w:p>
        </w:tc>
        <w:tc>
          <w:tcPr>
            <w:tcW w:w="0" w:type="auto"/>
            <w:gridSpan w:val="2"/>
            <w:tcBorders>
              <w:top w:val="nil"/>
              <w:left w:val="nil"/>
              <w:bottom w:val="single" w:sz="4" w:space="0" w:color="000000"/>
              <w:right w:val="nil"/>
            </w:tcBorders>
            <w:shd w:val="clear" w:color="auto" w:fill="FFFFFF"/>
            <w:tcMar>
              <w:top w:w="0" w:type="dxa"/>
              <w:right w:w="0" w:type="dxa"/>
            </w:tcMar>
            <w:vAlign w:val="bottom"/>
          </w:tcPr>
          <w:p w14:paraId="5FC4AE45" w14:textId="77777777" w:rsidR="00553543" w:rsidRDefault="00584985">
            <w:pPr>
              <w:keepNext/>
              <w:pBdr>
                <w:top w:val="nil"/>
                <w:left w:val="nil"/>
                <w:bottom w:val="nil"/>
                <w:right w:val="nil"/>
                <w:between w:val="nil"/>
                <w:bar w:val="nil"/>
              </w:pBdr>
              <w:jc w:val="center"/>
              <w:rPr>
                <w:b/>
                <w:color w:val="000000"/>
              </w:rPr>
            </w:pPr>
            <w:r>
              <w:rPr>
                <w:b/>
                <w:color w:val="000000"/>
              </w:rPr>
              <w:t>Year Ended December 31, 2025</w:t>
            </w:r>
          </w:p>
        </w:tc>
      </w:tr>
      <w:tr w:rsidR="00553543" w14:paraId="5CFE5073" w14:textId="77777777">
        <w:trPr>
          <w:jc w:val="center"/>
        </w:trPr>
        <w:tc>
          <w:tcPr>
            <w:tcW w:w="2340" w:type="pct"/>
            <w:tcBorders>
              <w:top w:val="nil"/>
              <w:left w:val="nil"/>
              <w:bottom w:val="nil"/>
              <w:right w:val="nil"/>
            </w:tcBorders>
            <w:shd w:val="clear" w:color="auto" w:fill="CFF0FC"/>
            <w:tcMar>
              <w:top w:w="0" w:type="dxa"/>
              <w:right w:w="0" w:type="dxa"/>
            </w:tcMar>
          </w:tcPr>
          <w:p w14:paraId="1F9B160B" w14:textId="77777777" w:rsidR="00553543" w:rsidRDefault="00584985">
            <w:pPr>
              <w:keepNext/>
              <w:pBdr>
                <w:top w:val="nil"/>
                <w:left w:val="nil"/>
                <w:bottom w:val="nil"/>
                <w:right w:val="nil"/>
                <w:between w:val="nil"/>
                <w:bar w:val="nil"/>
              </w:pBdr>
              <w:rPr>
                <w:color w:val="000000"/>
              </w:rPr>
            </w:pPr>
            <w:r>
              <w:rPr>
                <w:color w:val="000000"/>
              </w:rPr>
              <w:t>Total Revenues</w:t>
            </w:r>
          </w:p>
        </w:tc>
        <w:tc>
          <w:tcPr>
            <w:tcW w:w="99" w:type="pct"/>
            <w:tcBorders>
              <w:top w:val="nil"/>
              <w:left w:val="nil"/>
              <w:bottom w:val="nil"/>
              <w:right w:val="nil"/>
            </w:tcBorders>
            <w:shd w:val="clear" w:color="auto" w:fill="CFF0FC"/>
            <w:tcMar>
              <w:top w:w="0" w:type="dxa"/>
              <w:right w:w="0" w:type="dxa"/>
            </w:tcMar>
            <w:vAlign w:val="bottom"/>
          </w:tcPr>
          <w:p w14:paraId="1BA97838" w14:textId="77777777" w:rsidR="00553543" w:rsidRDefault="00553543">
            <w:pPr>
              <w:keepNext/>
              <w:pBdr>
                <w:top w:val="nil"/>
                <w:left w:val="nil"/>
                <w:bottom w:val="nil"/>
                <w:right w:val="nil"/>
                <w:between w:val="nil"/>
                <w:bar w:val="nil"/>
              </w:pBdr>
              <w:rPr>
                <w:color w:val="000000"/>
              </w:rPr>
            </w:pPr>
          </w:p>
        </w:tc>
        <w:tc>
          <w:tcPr>
            <w:tcW w:w="99" w:type="pct"/>
            <w:tcBorders>
              <w:top w:val="single" w:sz="4" w:space="0" w:color="000000"/>
              <w:left w:val="nil"/>
              <w:bottom w:val="nil"/>
              <w:right w:val="nil"/>
            </w:tcBorders>
            <w:shd w:val="clear" w:color="auto" w:fill="CFF0FC"/>
            <w:tcMar>
              <w:top w:w="0" w:type="dxa"/>
              <w:right w:w="0" w:type="dxa"/>
            </w:tcMar>
            <w:vAlign w:val="bottom"/>
          </w:tcPr>
          <w:p w14:paraId="4F75B61D" w14:textId="77777777" w:rsidR="00553543" w:rsidRDefault="00584985">
            <w:pPr>
              <w:keepNext/>
              <w:pBdr>
                <w:top w:val="nil"/>
                <w:left w:val="nil"/>
                <w:bottom w:val="nil"/>
                <w:right w:val="nil"/>
                <w:between w:val="nil"/>
                <w:bar w:val="nil"/>
              </w:pBdr>
              <w:rPr>
                <w:color w:val="000000"/>
              </w:rPr>
            </w:pPr>
            <w:r>
              <w:rPr>
                <w:color w:val="000000"/>
              </w:rPr>
              <w:t>$</w:t>
            </w:r>
          </w:p>
        </w:tc>
        <w:tc>
          <w:tcPr>
            <w:tcW w:w="1133" w:type="pct"/>
            <w:tcBorders>
              <w:top w:val="single" w:sz="4" w:space="0" w:color="000000"/>
              <w:left w:val="nil"/>
              <w:bottom w:val="nil"/>
              <w:right w:val="nil"/>
            </w:tcBorders>
            <w:shd w:val="clear" w:color="auto" w:fill="CFF0FC"/>
            <w:tcMar>
              <w:top w:w="0" w:type="dxa"/>
              <w:right w:w="0" w:type="dxa"/>
            </w:tcMar>
            <w:vAlign w:val="bottom"/>
          </w:tcPr>
          <w:p w14:paraId="71D85218" w14:textId="77777777" w:rsidR="00553543" w:rsidRDefault="00584985">
            <w:pPr>
              <w:keepNext/>
              <w:pBdr>
                <w:top w:val="nil"/>
                <w:left w:val="nil"/>
                <w:bottom w:val="nil"/>
                <w:right w:val="nil"/>
                <w:between w:val="nil"/>
                <w:bar w:val="nil"/>
              </w:pBdr>
              <w:jc w:val="right"/>
              <w:rPr>
                <w:color w:val="000000"/>
              </w:rPr>
            </w:pPr>
            <w:r>
              <w:rPr>
                <w:color w:val="000000"/>
              </w:rPr>
              <w:t>235-240 million</w:t>
            </w:r>
          </w:p>
        </w:tc>
        <w:tc>
          <w:tcPr>
            <w:tcW w:w="99" w:type="pct"/>
            <w:tcBorders>
              <w:top w:val="nil"/>
              <w:left w:val="nil"/>
              <w:bottom w:val="nil"/>
              <w:right w:val="nil"/>
            </w:tcBorders>
            <w:shd w:val="clear" w:color="auto" w:fill="CFF0FC"/>
            <w:tcMar>
              <w:top w:w="0" w:type="dxa"/>
              <w:right w:w="0" w:type="dxa"/>
            </w:tcMar>
            <w:vAlign w:val="bottom"/>
          </w:tcPr>
          <w:p w14:paraId="12D26193" w14:textId="77777777" w:rsidR="00553543" w:rsidRDefault="00553543">
            <w:pPr>
              <w:keepNext/>
              <w:pBdr>
                <w:top w:val="nil"/>
                <w:left w:val="nil"/>
                <w:bottom w:val="nil"/>
                <w:right w:val="nil"/>
                <w:between w:val="nil"/>
                <w:bar w:val="nil"/>
              </w:pBdr>
              <w:rPr>
                <w:color w:val="000000"/>
              </w:rPr>
            </w:pPr>
          </w:p>
        </w:tc>
        <w:tc>
          <w:tcPr>
            <w:tcW w:w="99" w:type="pct"/>
            <w:tcBorders>
              <w:top w:val="single" w:sz="4" w:space="0" w:color="000000"/>
              <w:left w:val="nil"/>
              <w:bottom w:val="nil"/>
              <w:right w:val="nil"/>
            </w:tcBorders>
            <w:shd w:val="clear" w:color="auto" w:fill="CFF0FC"/>
            <w:tcMar>
              <w:top w:w="0" w:type="dxa"/>
              <w:right w:w="0" w:type="dxa"/>
            </w:tcMar>
            <w:vAlign w:val="bottom"/>
          </w:tcPr>
          <w:p w14:paraId="2BF60BD0" w14:textId="77777777" w:rsidR="00553543" w:rsidRDefault="00584985">
            <w:pPr>
              <w:keepNext/>
              <w:pBdr>
                <w:top w:val="nil"/>
                <w:left w:val="nil"/>
                <w:bottom w:val="nil"/>
                <w:right w:val="nil"/>
                <w:between w:val="nil"/>
                <w:bar w:val="nil"/>
              </w:pBdr>
              <w:rPr>
                <w:color w:val="000000"/>
              </w:rPr>
            </w:pPr>
            <w:r>
              <w:rPr>
                <w:color w:val="000000"/>
              </w:rPr>
              <w:t>$</w:t>
            </w:r>
          </w:p>
        </w:tc>
        <w:tc>
          <w:tcPr>
            <w:tcW w:w="1133" w:type="pct"/>
            <w:tcBorders>
              <w:top w:val="single" w:sz="4" w:space="0" w:color="000000"/>
              <w:left w:val="nil"/>
              <w:bottom w:val="nil"/>
              <w:right w:val="nil"/>
            </w:tcBorders>
            <w:shd w:val="clear" w:color="auto" w:fill="CFF0FC"/>
            <w:tcMar>
              <w:top w:w="0" w:type="dxa"/>
              <w:right w:w="0" w:type="dxa"/>
            </w:tcMar>
            <w:vAlign w:val="bottom"/>
          </w:tcPr>
          <w:p w14:paraId="192FE203" w14:textId="77777777" w:rsidR="00553543" w:rsidRDefault="00584985">
            <w:pPr>
              <w:keepNext/>
              <w:pBdr>
                <w:top w:val="nil"/>
                <w:left w:val="nil"/>
                <w:bottom w:val="nil"/>
                <w:right w:val="nil"/>
                <w:between w:val="nil"/>
                <w:bar w:val="nil"/>
              </w:pBdr>
              <w:jc w:val="right"/>
              <w:rPr>
                <w:color w:val="000000"/>
              </w:rPr>
            </w:pPr>
            <w:r>
              <w:rPr>
                <w:color w:val="000000"/>
              </w:rPr>
              <w:t>950-970 million</w:t>
            </w:r>
          </w:p>
        </w:tc>
      </w:tr>
      <w:tr w:rsidR="00553543" w14:paraId="1EC304C2" w14:textId="77777777">
        <w:trPr>
          <w:jc w:val="center"/>
        </w:trPr>
        <w:tc>
          <w:tcPr>
            <w:tcW w:w="2340" w:type="pct"/>
            <w:tcBorders>
              <w:top w:val="nil"/>
              <w:left w:val="nil"/>
              <w:bottom w:val="nil"/>
              <w:right w:val="nil"/>
            </w:tcBorders>
            <w:shd w:val="clear" w:color="auto" w:fill="FFFFFF"/>
            <w:tcMar>
              <w:top w:w="0" w:type="dxa"/>
              <w:right w:w="0" w:type="dxa"/>
            </w:tcMar>
          </w:tcPr>
          <w:p w14:paraId="236130EF" w14:textId="77777777" w:rsidR="00553543" w:rsidRDefault="00584985">
            <w:pPr>
              <w:pBdr>
                <w:top w:val="nil"/>
                <w:left w:val="nil"/>
                <w:bottom w:val="nil"/>
                <w:right w:val="nil"/>
                <w:between w:val="nil"/>
                <w:bar w:val="nil"/>
              </w:pBdr>
              <w:rPr>
                <w:color w:val="000000"/>
              </w:rPr>
            </w:pPr>
            <w:r>
              <w:rPr>
                <w:color w:val="000000"/>
              </w:rPr>
              <w:t>Adjusted EBITDA</w:t>
            </w:r>
          </w:p>
        </w:tc>
        <w:tc>
          <w:tcPr>
            <w:tcW w:w="99" w:type="pct"/>
            <w:tcBorders>
              <w:top w:val="nil"/>
              <w:left w:val="nil"/>
              <w:bottom w:val="nil"/>
              <w:right w:val="nil"/>
            </w:tcBorders>
            <w:shd w:val="clear" w:color="auto" w:fill="FFFFFF"/>
            <w:tcMar>
              <w:top w:w="0" w:type="dxa"/>
              <w:right w:w="0" w:type="dxa"/>
            </w:tcMar>
            <w:vAlign w:val="bottom"/>
          </w:tcPr>
          <w:p w14:paraId="629EFC8A" w14:textId="77777777" w:rsidR="00553543" w:rsidRDefault="00553543">
            <w:pPr>
              <w:pBdr>
                <w:top w:val="nil"/>
                <w:left w:val="nil"/>
                <w:bottom w:val="nil"/>
                <w:right w:val="nil"/>
                <w:between w:val="nil"/>
                <w:bar w:val="nil"/>
              </w:pBdr>
              <w:rPr>
                <w:color w:val="000000"/>
              </w:rPr>
            </w:pPr>
          </w:p>
        </w:tc>
        <w:tc>
          <w:tcPr>
            <w:tcW w:w="99" w:type="pct"/>
            <w:tcBorders>
              <w:top w:val="nil"/>
              <w:left w:val="nil"/>
              <w:bottom w:val="nil"/>
              <w:right w:val="nil"/>
            </w:tcBorders>
            <w:shd w:val="clear" w:color="auto" w:fill="FFFFFF"/>
            <w:tcMar>
              <w:top w:w="0" w:type="dxa"/>
              <w:right w:w="0" w:type="dxa"/>
            </w:tcMar>
            <w:vAlign w:val="bottom"/>
          </w:tcPr>
          <w:p w14:paraId="084B316C" w14:textId="77777777" w:rsidR="00553543" w:rsidRDefault="00584985">
            <w:pPr>
              <w:pBdr>
                <w:top w:val="nil"/>
                <w:left w:val="nil"/>
                <w:bottom w:val="nil"/>
                <w:right w:val="nil"/>
                <w:between w:val="nil"/>
                <w:bar w:val="nil"/>
              </w:pBdr>
              <w:rPr>
                <w:color w:val="000000"/>
              </w:rPr>
            </w:pPr>
            <w:r>
              <w:rPr>
                <w:color w:val="000000"/>
              </w:rPr>
              <w:t>$</w:t>
            </w:r>
          </w:p>
        </w:tc>
        <w:tc>
          <w:tcPr>
            <w:tcW w:w="1133" w:type="pct"/>
            <w:tcBorders>
              <w:top w:val="nil"/>
              <w:left w:val="nil"/>
              <w:bottom w:val="nil"/>
              <w:right w:val="nil"/>
            </w:tcBorders>
            <w:shd w:val="clear" w:color="auto" w:fill="FFFFFF"/>
            <w:tcMar>
              <w:top w:w="0" w:type="dxa"/>
              <w:right w:w="0" w:type="dxa"/>
            </w:tcMar>
            <w:vAlign w:val="bottom"/>
          </w:tcPr>
          <w:p w14:paraId="47B3B64E" w14:textId="77777777" w:rsidR="00553543" w:rsidRDefault="00584985">
            <w:pPr>
              <w:pBdr>
                <w:top w:val="nil"/>
                <w:left w:val="nil"/>
                <w:bottom w:val="nil"/>
                <w:right w:val="nil"/>
                <w:between w:val="nil"/>
                <w:bar w:val="nil"/>
              </w:pBdr>
              <w:jc w:val="right"/>
              <w:rPr>
                <w:color w:val="000000"/>
              </w:rPr>
            </w:pPr>
            <w:r>
              <w:rPr>
                <w:color w:val="000000"/>
              </w:rPr>
              <w:t>28-30 million</w:t>
            </w:r>
          </w:p>
        </w:tc>
        <w:tc>
          <w:tcPr>
            <w:tcW w:w="99" w:type="pct"/>
            <w:tcBorders>
              <w:top w:val="nil"/>
              <w:left w:val="nil"/>
              <w:bottom w:val="nil"/>
              <w:right w:val="nil"/>
            </w:tcBorders>
            <w:shd w:val="clear" w:color="auto" w:fill="FFFFFF"/>
            <w:tcMar>
              <w:top w:w="0" w:type="dxa"/>
              <w:right w:w="0" w:type="dxa"/>
            </w:tcMar>
            <w:vAlign w:val="bottom"/>
          </w:tcPr>
          <w:p w14:paraId="54659F68" w14:textId="77777777" w:rsidR="00553543" w:rsidRDefault="00553543">
            <w:pPr>
              <w:pBdr>
                <w:top w:val="nil"/>
                <w:left w:val="nil"/>
                <w:bottom w:val="nil"/>
                <w:right w:val="nil"/>
                <w:between w:val="nil"/>
                <w:bar w:val="nil"/>
              </w:pBdr>
              <w:rPr>
                <w:color w:val="000000"/>
              </w:rPr>
            </w:pPr>
          </w:p>
        </w:tc>
        <w:tc>
          <w:tcPr>
            <w:tcW w:w="99" w:type="pct"/>
            <w:tcBorders>
              <w:top w:val="nil"/>
              <w:left w:val="nil"/>
              <w:bottom w:val="nil"/>
              <w:right w:val="nil"/>
            </w:tcBorders>
            <w:shd w:val="clear" w:color="auto" w:fill="FFFFFF"/>
            <w:tcMar>
              <w:top w:w="0" w:type="dxa"/>
              <w:right w:w="0" w:type="dxa"/>
            </w:tcMar>
            <w:vAlign w:val="bottom"/>
          </w:tcPr>
          <w:p w14:paraId="59A14726" w14:textId="77777777" w:rsidR="00553543" w:rsidRDefault="00584985">
            <w:pPr>
              <w:pBdr>
                <w:top w:val="nil"/>
                <w:left w:val="nil"/>
                <w:bottom w:val="nil"/>
                <w:right w:val="nil"/>
                <w:between w:val="nil"/>
                <w:bar w:val="nil"/>
              </w:pBdr>
              <w:rPr>
                <w:color w:val="000000"/>
              </w:rPr>
            </w:pPr>
            <w:r>
              <w:rPr>
                <w:color w:val="000000"/>
              </w:rPr>
              <w:t>$</w:t>
            </w:r>
          </w:p>
        </w:tc>
        <w:tc>
          <w:tcPr>
            <w:tcW w:w="1133" w:type="pct"/>
            <w:tcBorders>
              <w:top w:val="nil"/>
              <w:left w:val="nil"/>
              <w:bottom w:val="nil"/>
              <w:right w:val="nil"/>
            </w:tcBorders>
            <w:shd w:val="clear" w:color="auto" w:fill="FFFFFF"/>
            <w:tcMar>
              <w:top w:w="0" w:type="dxa"/>
              <w:right w:w="0" w:type="dxa"/>
            </w:tcMar>
            <w:vAlign w:val="bottom"/>
          </w:tcPr>
          <w:p w14:paraId="1B336C00" w14:textId="77777777" w:rsidR="00553543" w:rsidRDefault="00584985">
            <w:pPr>
              <w:pBdr>
                <w:top w:val="nil"/>
                <w:left w:val="nil"/>
                <w:bottom w:val="nil"/>
                <w:right w:val="nil"/>
                <w:between w:val="nil"/>
                <w:bar w:val="nil"/>
              </w:pBdr>
              <w:jc w:val="right"/>
              <w:rPr>
                <w:color w:val="000000"/>
              </w:rPr>
            </w:pPr>
            <w:r>
              <w:rPr>
                <w:color w:val="000000"/>
              </w:rPr>
              <w:t>115-125 million</w:t>
            </w:r>
          </w:p>
        </w:tc>
      </w:tr>
    </w:tbl>
    <w:p w14:paraId="3A9A4844" w14:textId="77777777" w:rsidR="00553543" w:rsidRDefault="00553543">
      <w:pPr>
        <w:pBdr>
          <w:top w:val="nil"/>
          <w:left w:val="nil"/>
          <w:bottom w:val="nil"/>
          <w:right w:val="nil"/>
          <w:between w:val="nil"/>
          <w:bar w:val="nil"/>
        </w:pBdr>
        <w:rPr>
          <w:b/>
          <w:color w:val="000000"/>
        </w:rPr>
      </w:pPr>
    </w:p>
    <w:p w14:paraId="4BD31E9C" w14:textId="77777777" w:rsidR="00553543" w:rsidRDefault="00584985">
      <w:pPr>
        <w:pBdr>
          <w:top w:val="nil"/>
          <w:left w:val="nil"/>
          <w:bottom w:val="nil"/>
          <w:right w:val="nil"/>
          <w:between w:val="nil"/>
          <w:bar w:val="nil"/>
        </w:pBdr>
        <w:rPr>
          <w:b/>
          <w:color w:val="000000"/>
        </w:rPr>
      </w:pPr>
      <w:r>
        <w:rPr>
          <w:b/>
          <w:color w:val="000000"/>
        </w:rPr>
        <w:t>Conference Call Details</w:t>
      </w:r>
    </w:p>
    <w:p w14:paraId="7D4A3291" w14:textId="77777777" w:rsidR="00553543" w:rsidRDefault="00553543">
      <w:pPr>
        <w:pBdr>
          <w:top w:val="nil"/>
          <w:left w:val="nil"/>
          <w:bottom w:val="nil"/>
          <w:right w:val="nil"/>
          <w:between w:val="nil"/>
          <w:bar w:val="nil"/>
        </w:pBdr>
        <w:rPr>
          <w:b/>
          <w:color w:val="000000"/>
        </w:rPr>
      </w:pPr>
    </w:p>
    <w:p w14:paraId="2282D419" w14:textId="77777777" w:rsidR="00553543" w:rsidRDefault="00584985">
      <w:pPr>
        <w:pBdr>
          <w:top w:val="nil"/>
          <w:left w:val="nil"/>
          <w:bottom w:val="nil"/>
          <w:right w:val="nil"/>
          <w:between w:val="nil"/>
          <w:bar w:val="nil"/>
        </w:pBdr>
        <w:rPr>
          <w:color w:val="000000"/>
        </w:rPr>
      </w:pPr>
      <w:r>
        <w:rPr>
          <w:color w:val="000000"/>
        </w:rPr>
        <w:t>A conference call to discuss the first quarter 2025 financial results is scheduled for Wednesday, April 30, 2025, at 10:00 a.m. Eastern Time. Investors and analysts interested in participating in the call are invited to dial 1-877-283-8977 (international callers please dial 1-412-542-4171) and provide the passcode 10198331 approximately 10 minutes prior to the start of the call. A live audio webcast of the conference call will be available online at https://onespaworld.com/investor-relations. A replay of the call will be available by dialing 844-512-2921 (international callers please dial 412-317-6671) and entering the passcode 10198331. The conference call replay will be available from 2:00 p.m. Eastern Time on Wednesday, April 30, 2025 until 11:59 p.m. Eastern Time on Wednesday, May 7, 2025. The Webcast replay will remain available for 90 days.</w:t>
      </w:r>
    </w:p>
    <w:p w14:paraId="100F7A75" w14:textId="77777777" w:rsidR="00553543" w:rsidRDefault="00584985">
      <w:pPr>
        <w:pBdr>
          <w:top w:val="nil"/>
          <w:left w:val="nil"/>
          <w:bottom w:val="nil"/>
          <w:right w:val="nil"/>
          <w:between w:val="nil"/>
          <w:bar w:val="nil"/>
        </w:pBdr>
        <w:rPr>
          <w:color w:val="000000"/>
        </w:rPr>
      </w:pPr>
      <w:r>
        <w:rPr>
          <w:color w:val="000000"/>
        </w:rPr>
        <w:t xml:space="preserve"> </w:t>
      </w:r>
    </w:p>
    <w:p w14:paraId="3CD996E6" w14:textId="77777777" w:rsidR="00553543" w:rsidRDefault="00584985">
      <w:pPr>
        <w:pBdr>
          <w:top w:val="nil"/>
          <w:left w:val="nil"/>
          <w:bottom w:val="nil"/>
          <w:right w:val="nil"/>
          <w:between w:val="nil"/>
          <w:bar w:val="nil"/>
        </w:pBdr>
        <w:rPr>
          <w:b/>
          <w:color w:val="000000"/>
        </w:rPr>
      </w:pPr>
      <w:r>
        <w:rPr>
          <w:b/>
          <w:color w:val="000000"/>
        </w:rPr>
        <w:t>About OneSpaWorld</w:t>
      </w:r>
    </w:p>
    <w:p w14:paraId="027EB878" w14:textId="77777777" w:rsidR="00553543" w:rsidRDefault="00553543">
      <w:pPr>
        <w:pBdr>
          <w:top w:val="nil"/>
          <w:left w:val="nil"/>
          <w:bottom w:val="nil"/>
          <w:right w:val="nil"/>
          <w:between w:val="nil"/>
          <w:bar w:val="nil"/>
        </w:pBdr>
        <w:rPr>
          <w:b/>
          <w:color w:val="000000"/>
        </w:rPr>
      </w:pPr>
    </w:p>
    <w:p w14:paraId="52778EF0" w14:textId="77777777" w:rsidR="00553543" w:rsidRDefault="00584985">
      <w:pPr>
        <w:widowControl w:val="0"/>
        <w:pBdr>
          <w:top w:val="nil"/>
          <w:left w:val="nil"/>
          <w:bottom w:val="nil"/>
          <w:right w:val="nil"/>
          <w:between w:val="nil"/>
          <w:bar w:val="nil"/>
        </w:pBdr>
        <w:rPr>
          <w:color w:val="000000"/>
          <w:shd w:val="clear" w:color="auto" w:fill="FFFFFF"/>
        </w:rPr>
      </w:pPr>
      <w:r>
        <w:rPr>
          <w:color w:val="000000"/>
          <w:shd w:val="clear" w:color="auto" w:fill="FFFFFF"/>
        </w:rPr>
        <w:t>Headquartered in Nassau, Bahamas, OneSpaWorld is one of the largest health and wellness services companies in the world. OneSpaWorld’s distinguished health and wellness centers offer guests a comprehensive suite of premium health, wellness, fitness and beauty services, treatments, and products, currently onboard 199 cruise ships and at 50 destination resorts around the world. OneSpaWorld holds the leading market position within the cruise industry segment of the international leisure market, which it has earned over six decades upon its exceptional service; expansive global recruitment, training and logistics platforms; irreplicable operating infrastructure; powerful team; and product innovation, delivering tens of millions of extraordinary guest experiences and outstanding service to its cruise line and destination resort partners.</w:t>
      </w:r>
    </w:p>
    <w:p w14:paraId="4FB361A2" w14:textId="77777777" w:rsidR="00553543" w:rsidRDefault="00584985">
      <w:pPr>
        <w:widowControl w:val="0"/>
        <w:pBdr>
          <w:top w:val="nil"/>
          <w:left w:val="nil"/>
          <w:bottom w:val="nil"/>
          <w:right w:val="nil"/>
          <w:between w:val="nil"/>
          <w:bar w:val="nil"/>
        </w:pBdr>
        <w:rPr>
          <w:color w:val="000000"/>
        </w:rPr>
      </w:pPr>
      <w:r>
        <w:rPr>
          <w:color w:val="000000"/>
        </w:rPr>
        <w:t xml:space="preserve"> </w:t>
      </w:r>
    </w:p>
    <w:p w14:paraId="2FB56988" w14:textId="77777777" w:rsidR="00553543" w:rsidRDefault="00584985">
      <w:pPr>
        <w:widowControl w:val="0"/>
        <w:pBdr>
          <w:top w:val="nil"/>
          <w:left w:val="nil"/>
          <w:bottom w:val="nil"/>
          <w:right w:val="nil"/>
          <w:between w:val="nil"/>
          <w:bar w:val="nil"/>
        </w:pBdr>
        <w:rPr>
          <w:color w:val="000000"/>
        </w:rPr>
      </w:pPr>
      <w:r>
        <w:rPr>
          <w:color w:val="000000"/>
        </w:rPr>
        <w:t xml:space="preserve">On March 19, 2019, OneSpaWorld completed a series of mergers pursuant to which OSW Predecessor, comprised of direct and indirect subsidiaries of Steiner Leisure Ltd., and Haymaker Acquisition Corp. (“Haymaker”), a special purpose acquisition company, each became indirect wholly owned subsidiaries of OneSpaWorld (the “Business Combination”). Haymaker is the acquirer and OSW Predecessor the predecessor, whose historical results have become the historical results of OneSpaWorld. </w:t>
      </w:r>
    </w:p>
    <w:p w14:paraId="5D9E4C8A" w14:textId="77777777" w:rsidR="00553543" w:rsidRDefault="00584985">
      <w:pPr>
        <w:pBdr>
          <w:top w:val="nil"/>
          <w:left w:val="nil"/>
          <w:bottom w:val="nil"/>
          <w:right w:val="nil"/>
          <w:between w:val="nil"/>
          <w:bar w:val="nil"/>
        </w:pBdr>
        <w:rPr>
          <w:color w:val="000000"/>
        </w:rPr>
      </w:pPr>
      <w:r>
        <w:rPr>
          <w:color w:val="000000"/>
        </w:rPr>
        <w:t xml:space="preserve"> </w:t>
      </w:r>
    </w:p>
    <w:p w14:paraId="1CEB2493" w14:textId="77777777" w:rsidR="00553543" w:rsidRDefault="00553543">
      <w:pPr>
        <w:pBdr>
          <w:top w:val="nil"/>
          <w:left w:val="nil"/>
          <w:bottom w:val="nil"/>
          <w:right w:val="nil"/>
          <w:between w:val="nil"/>
          <w:bar w:val="nil"/>
        </w:pBdr>
        <w:rPr>
          <w:b/>
          <w:color w:val="000000"/>
        </w:rPr>
      </w:pPr>
    </w:p>
    <w:p w14:paraId="03E6D819" w14:textId="77777777" w:rsidR="00553543" w:rsidRDefault="00584985">
      <w:pPr>
        <w:pBdr>
          <w:top w:val="nil"/>
          <w:left w:val="nil"/>
          <w:bottom w:val="nil"/>
          <w:right w:val="nil"/>
          <w:between w:val="nil"/>
          <w:bar w:val="nil"/>
        </w:pBdr>
        <w:rPr>
          <w:b/>
          <w:color w:val="000000"/>
        </w:rPr>
      </w:pPr>
      <w:r>
        <w:rPr>
          <w:b/>
          <w:color w:val="000000"/>
        </w:rPr>
        <w:t>Forward-Looking Statements</w:t>
      </w:r>
    </w:p>
    <w:p w14:paraId="49FCEF81" w14:textId="77777777" w:rsidR="00553543" w:rsidRDefault="00553543">
      <w:pPr>
        <w:pBdr>
          <w:top w:val="nil"/>
          <w:left w:val="nil"/>
          <w:bottom w:val="nil"/>
          <w:right w:val="nil"/>
          <w:between w:val="nil"/>
          <w:bar w:val="nil"/>
        </w:pBdr>
        <w:rPr>
          <w:b/>
          <w:color w:val="000000"/>
        </w:rPr>
      </w:pPr>
    </w:p>
    <w:p w14:paraId="077CF917" w14:textId="77777777" w:rsidR="00553543" w:rsidRDefault="00584985">
      <w:pPr>
        <w:widowControl w:val="0"/>
        <w:pBdr>
          <w:top w:val="nil"/>
          <w:left w:val="nil"/>
          <w:bottom w:val="nil"/>
          <w:right w:val="nil"/>
          <w:between w:val="nil"/>
          <w:bar w:val="nil"/>
        </w:pBdr>
        <w:rPr>
          <w:color w:val="000000"/>
        </w:rPr>
      </w:pPr>
      <w:r>
        <w:rPr>
          <w:color w:val="000000"/>
        </w:rPr>
        <w:t xml:space="preserve">This press release includes “forward-looking statements” within the meaning of the “safe harbor” provisions of the Private Securities Litigation Reform Act of 1995. The expectations, estimates, and projections of the Company may differ from its actual results and consequently, you should not rely on these forward-looking statements as predictions of future events. Words such as “expect,” “estimate,” “project,” “budget,” “forecast,” “anticipate,” “intend,” “plan,” “may,” “will,” “could,” “should,” “believes,” “predicts,” “potential,” “continue,” or the negative or other variations thereof and similar expressions are intended to identify such forward </w:t>
      </w:r>
      <w:r>
        <w:rPr>
          <w:color w:val="000000"/>
        </w:rPr>
        <w:lastRenderedPageBreak/>
        <w:t>looking statements. These forward-looking statements include, without limitation, expectations with respect to future performance of the Company, including projected financial information (which is not audited or reviewed by the Company’s auditors), and the future plans, operations and opportunities for the Company and other statements that are not historical facts. These statements are based on the current expectations of the Company’s management and are not predictions of actual performance. These forward-looking statements involve significant risks and uncertainties that could cause the actual results to differ materially from the expected results. Factors that may cause such differences include, but are not limited to: the impact of outbreaks of illnesses on our business, operations, results of operations and financial condition, including liquidity for the foreseeable future; the demand for the Company’s services together with the possibility that the Company may be adversely affected by other economic, business, and/or competitive factors or changes in the business environment in which the Company operates; changes in consumer preferences or the market for the Company’s services; changes in applicable laws or regulations; the availability or competition for opportunities for expansion of the Company’s business; difficulties of managing growth profitably; the loss of one or more members of the Company’s management team; loss of a major customer and other risks and uncertainties included from time to time in the Company’s reports (including all amendments to those reports) filed with the SEC. The Company cautions that the foregoing list of factors is not exclusive. You should not place undue reliance upon any forward-looking statements, which speak only as of the date made. The Company does not undertake or accept any obligation or undertaking to release publicly any updates or revisions to any forward-looking statements to reflect any change in its expectations or any change in events, conditions, or circumstances on which any such statement is based, except as required by law. These forward-looking statements should not be relied upon as representing the Company’s assessments as of any date subsequent to the date of this communication.</w:t>
      </w:r>
    </w:p>
    <w:p w14:paraId="606C96EF" w14:textId="77777777" w:rsidR="00553543" w:rsidRDefault="00584985">
      <w:pPr>
        <w:pBdr>
          <w:top w:val="nil"/>
          <w:left w:val="nil"/>
          <w:bottom w:val="nil"/>
          <w:right w:val="nil"/>
          <w:between w:val="nil"/>
          <w:bar w:val="nil"/>
        </w:pBdr>
        <w:rPr>
          <w:b/>
          <w:color w:val="000000"/>
        </w:rPr>
      </w:pPr>
      <w:r>
        <w:rPr>
          <w:color w:val="000000"/>
        </w:rPr>
        <w:br/>
      </w:r>
      <w:r>
        <w:rPr>
          <w:b/>
          <w:color w:val="000000"/>
        </w:rPr>
        <w:t>Non-GAAP Financial Measures</w:t>
      </w:r>
    </w:p>
    <w:p w14:paraId="40E735C7" w14:textId="77777777" w:rsidR="00553543" w:rsidRDefault="00553543">
      <w:pPr>
        <w:pBdr>
          <w:top w:val="nil"/>
          <w:left w:val="nil"/>
          <w:bottom w:val="nil"/>
          <w:right w:val="nil"/>
          <w:between w:val="nil"/>
          <w:bar w:val="nil"/>
        </w:pBdr>
        <w:rPr>
          <w:b/>
          <w:color w:val="000000"/>
        </w:rPr>
      </w:pPr>
    </w:p>
    <w:p w14:paraId="0106DCCD" w14:textId="77777777" w:rsidR="00553543" w:rsidRDefault="00584985">
      <w:pPr>
        <w:pBdr>
          <w:top w:val="nil"/>
          <w:left w:val="nil"/>
          <w:bottom w:val="nil"/>
          <w:right w:val="nil"/>
          <w:between w:val="nil"/>
          <w:bar w:val="nil"/>
        </w:pBdr>
        <w:rPr>
          <w:color w:val="000000"/>
        </w:rPr>
      </w:pPr>
      <w:r>
        <w:rPr>
          <w:color w:val="000000"/>
        </w:rPr>
        <w:t>We refer to certain financial measures that are not recognized under U.S. generally accepted accounting principles (“GAAP”). Please see “Note Regarding Non-GAAP Financial Information” and “Reconciliation of GAAP to Non-GAAP Financial Information” below for additional information and a reconciliation of the non-GAAP financial measures to the most comparable GAAP financial measures.</w:t>
      </w:r>
    </w:p>
    <w:p w14:paraId="7F515F37" w14:textId="77777777" w:rsidR="00553543" w:rsidRDefault="00553543">
      <w:pPr>
        <w:pBdr>
          <w:top w:val="nil"/>
          <w:left w:val="nil"/>
          <w:bottom w:val="nil"/>
          <w:right w:val="nil"/>
          <w:between w:val="nil"/>
          <w:bar w:val="nil"/>
        </w:pBdr>
        <w:rPr>
          <w:color w:val="000000"/>
        </w:rPr>
      </w:pPr>
    </w:p>
    <w:p w14:paraId="6FBEAA67" w14:textId="77777777" w:rsidR="00553543" w:rsidRDefault="00584985">
      <w:pPr>
        <w:keepNext/>
        <w:keepLines/>
        <w:pBdr>
          <w:top w:val="nil"/>
          <w:left w:val="nil"/>
          <w:bottom w:val="nil"/>
          <w:right w:val="nil"/>
          <w:between w:val="nil"/>
          <w:bar w:val="nil"/>
        </w:pBdr>
        <w:spacing w:before="120"/>
        <w:jc w:val="center"/>
        <w:rPr>
          <w:b/>
          <w:color w:val="000000"/>
        </w:rPr>
      </w:pPr>
      <w:r>
        <w:rPr>
          <w:b/>
          <w:color w:val="000000"/>
        </w:rPr>
        <w:lastRenderedPageBreak/>
        <w:t>ONESPAWORLD HOLDINGS LIMITED AND SUBSIDIARIES</w:t>
      </w:r>
    </w:p>
    <w:p w14:paraId="009C2CAE" w14:textId="77777777" w:rsidR="00553543" w:rsidRDefault="00584985">
      <w:pPr>
        <w:keepNext/>
        <w:keepLines/>
        <w:pBdr>
          <w:top w:val="nil"/>
          <w:left w:val="nil"/>
          <w:bottom w:val="nil"/>
          <w:right w:val="nil"/>
          <w:between w:val="nil"/>
          <w:bar w:val="nil"/>
        </w:pBdr>
        <w:jc w:val="center"/>
        <w:rPr>
          <w:b/>
          <w:color w:val="000000"/>
        </w:rPr>
      </w:pPr>
      <w:r>
        <w:rPr>
          <w:b/>
          <w:color w:val="000000"/>
        </w:rPr>
        <w:t>CONDENSED CONSOLIDATED STATEMENTS OF OPERATIONS</w:t>
      </w:r>
    </w:p>
    <w:p w14:paraId="026ABB0C" w14:textId="77777777" w:rsidR="00553543" w:rsidRDefault="00584985">
      <w:pPr>
        <w:keepNext/>
        <w:keepLines/>
        <w:pBdr>
          <w:top w:val="nil"/>
          <w:left w:val="nil"/>
          <w:bottom w:val="nil"/>
          <w:right w:val="nil"/>
          <w:between w:val="nil"/>
          <w:bar w:val="nil"/>
        </w:pBdr>
        <w:jc w:val="center"/>
        <w:rPr>
          <w:b/>
          <w:color w:val="000000"/>
        </w:rPr>
      </w:pPr>
      <w:r>
        <w:rPr>
          <w:b/>
          <w:color w:val="000000"/>
        </w:rPr>
        <w:t>(UNAUDITED)</w:t>
      </w:r>
    </w:p>
    <w:p w14:paraId="539678CD" w14:textId="77777777" w:rsidR="00553543" w:rsidRDefault="00584985">
      <w:pPr>
        <w:keepNext/>
        <w:keepLines/>
        <w:pBdr>
          <w:top w:val="nil"/>
          <w:left w:val="nil"/>
          <w:bottom w:val="nil"/>
          <w:right w:val="nil"/>
          <w:between w:val="nil"/>
          <w:bar w:val="nil"/>
        </w:pBdr>
        <w:jc w:val="center"/>
        <w:rPr>
          <w:b/>
          <w:color w:val="000000"/>
        </w:rPr>
      </w:pPr>
      <w:r>
        <w:rPr>
          <w:b/>
          <w:color w:val="000000"/>
        </w:rPr>
        <w:t>(in thousands, except per share data)</w:t>
      </w:r>
    </w:p>
    <w:p w14:paraId="4EA533B6" w14:textId="77777777" w:rsidR="00553543" w:rsidRDefault="00553543">
      <w:pPr>
        <w:keepNext/>
        <w:keepLines/>
        <w:pBdr>
          <w:top w:val="nil"/>
          <w:left w:val="nil"/>
          <w:bottom w:val="nil"/>
          <w:right w:val="nil"/>
          <w:between w:val="nil"/>
          <w:bar w:val="nil"/>
        </w:pBdr>
        <w:jc w:val="center"/>
        <w:rPr>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4381"/>
        <w:gridCol w:w="133"/>
        <w:gridCol w:w="114"/>
        <w:gridCol w:w="1227"/>
        <w:gridCol w:w="108"/>
        <w:gridCol w:w="158"/>
        <w:gridCol w:w="114"/>
        <w:gridCol w:w="1227"/>
        <w:gridCol w:w="108"/>
        <w:gridCol w:w="184"/>
        <w:gridCol w:w="115"/>
        <w:gridCol w:w="1214"/>
        <w:gridCol w:w="108"/>
        <w:gridCol w:w="108"/>
        <w:gridCol w:w="108"/>
        <w:gridCol w:w="1125"/>
        <w:gridCol w:w="268"/>
      </w:tblGrid>
      <w:tr w:rsidR="00553543" w14:paraId="1846D33B" w14:textId="77777777">
        <w:trPr>
          <w:jc w:val="center"/>
        </w:trPr>
        <w:tc>
          <w:tcPr>
            <w:tcW w:w="2027" w:type="pct"/>
            <w:tcBorders>
              <w:top w:val="nil"/>
              <w:left w:val="nil"/>
              <w:bottom w:val="nil"/>
              <w:right w:val="nil"/>
            </w:tcBorders>
            <w:shd w:val="clear" w:color="auto" w:fill="FFFFFF"/>
            <w:vAlign w:val="bottom"/>
          </w:tcPr>
          <w:p w14:paraId="32BDB98A" w14:textId="77777777" w:rsidR="00553543" w:rsidRDefault="00553543">
            <w:pPr>
              <w:keepNext/>
              <w:pBdr>
                <w:top w:val="nil"/>
                <w:left w:val="nil"/>
                <w:bottom w:val="nil"/>
                <w:right w:val="nil"/>
                <w:between w:val="nil"/>
                <w:bar w:val="nil"/>
              </w:pBdr>
              <w:jc w:val="center"/>
              <w:rPr>
                <w:b/>
                <w:color w:val="000000"/>
              </w:rPr>
            </w:pPr>
          </w:p>
        </w:tc>
        <w:tc>
          <w:tcPr>
            <w:tcW w:w="61" w:type="pct"/>
            <w:tcBorders>
              <w:top w:val="nil"/>
              <w:left w:val="nil"/>
              <w:bottom w:val="nil"/>
              <w:right w:val="nil"/>
            </w:tcBorders>
            <w:shd w:val="clear" w:color="auto" w:fill="FFFFFF"/>
            <w:vAlign w:val="bottom"/>
          </w:tcPr>
          <w:p w14:paraId="3383B69B" w14:textId="77777777" w:rsidR="00553543" w:rsidRDefault="00553543">
            <w:pPr>
              <w:keepNext/>
              <w:pBdr>
                <w:top w:val="nil"/>
                <w:left w:val="nil"/>
                <w:bottom w:val="nil"/>
                <w:right w:val="nil"/>
                <w:between w:val="nil"/>
                <w:bar w:val="nil"/>
              </w:pBdr>
              <w:jc w:val="center"/>
              <w:rPr>
                <w:b/>
                <w:color w:val="000000"/>
              </w:rPr>
            </w:pPr>
          </w:p>
        </w:tc>
        <w:tc>
          <w:tcPr>
            <w:tcW w:w="0" w:type="auto"/>
            <w:gridSpan w:val="14"/>
            <w:tcBorders>
              <w:top w:val="nil"/>
              <w:left w:val="nil"/>
              <w:bottom w:val="single" w:sz="4" w:space="0" w:color="000000"/>
              <w:right w:val="nil"/>
            </w:tcBorders>
            <w:shd w:val="clear" w:color="auto" w:fill="FFFFFF"/>
            <w:vAlign w:val="bottom"/>
          </w:tcPr>
          <w:p w14:paraId="5F01191F" w14:textId="77777777" w:rsidR="00553543" w:rsidRDefault="00584985">
            <w:pPr>
              <w:keepNext/>
              <w:pBdr>
                <w:top w:val="nil"/>
                <w:left w:val="nil"/>
                <w:bottom w:val="nil"/>
                <w:right w:val="nil"/>
                <w:between w:val="nil"/>
                <w:bar w:val="nil"/>
              </w:pBdr>
              <w:jc w:val="center"/>
              <w:rPr>
                <w:b/>
                <w:color w:val="000000"/>
              </w:rPr>
            </w:pPr>
            <w:r>
              <w:rPr>
                <w:b/>
                <w:color w:val="000000"/>
              </w:rPr>
              <w:t>Three Months Ended March 31,</w:t>
            </w:r>
          </w:p>
        </w:tc>
        <w:tc>
          <w:tcPr>
            <w:tcW w:w="124" w:type="pct"/>
            <w:tcBorders>
              <w:top w:val="nil"/>
              <w:left w:val="nil"/>
              <w:bottom w:val="nil"/>
              <w:right w:val="nil"/>
            </w:tcBorders>
            <w:shd w:val="clear" w:color="auto" w:fill="FFFFFF"/>
            <w:vAlign w:val="bottom"/>
          </w:tcPr>
          <w:p w14:paraId="482D98AC" w14:textId="77777777" w:rsidR="00553543" w:rsidRDefault="00553543">
            <w:pPr>
              <w:keepNext/>
              <w:pBdr>
                <w:top w:val="nil"/>
                <w:left w:val="nil"/>
                <w:bottom w:val="nil"/>
                <w:right w:val="nil"/>
                <w:between w:val="nil"/>
                <w:bar w:val="nil"/>
              </w:pBdr>
              <w:jc w:val="center"/>
              <w:rPr>
                <w:b/>
                <w:color w:val="000000"/>
              </w:rPr>
            </w:pPr>
          </w:p>
        </w:tc>
      </w:tr>
      <w:tr w:rsidR="00553543" w14:paraId="5CE4D15C" w14:textId="77777777">
        <w:trPr>
          <w:jc w:val="center"/>
        </w:trPr>
        <w:tc>
          <w:tcPr>
            <w:tcW w:w="2027" w:type="pct"/>
            <w:tcBorders>
              <w:top w:val="nil"/>
              <w:left w:val="nil"/>
              <w:bottom w:val="nil"/>
              <w:right w:val="nil"/>
            </w:tcBorders>
            <w:shd w:val="clear" w:color="auto" w:fill="FFFFFF"/>
            <w:vAlign w:val="bottom"/>
          </w:tcPr>
          <w:p w14:paraId="7022429E" w14:textId="77777777" w:rsidR="00553543" w:rsidRDefault="00553543">
            <w:pPr>
              <w:keepNext/>
              <w:pBdr>
                <w:top w:val="nil"/>
                <w:left w:val="nil"/>
                <w:bottom w:val="nil"/>
                <w:right w:val="nil"/>
                <w:between w:val="nil"/>
                <w:bar w:val="nil"/>
              </w:pBdr>
              <w:jc w:val="center"/>
              <w:rPr>
                <w:b/>
                <w:color w:val="000000"/>
              </w:rPr>
            </w:pPr>
          </w:p>
        </w:tc>
        <w:tc>
          <w:tcPr>
            <w:tcW w:w="61" w:type="pct"/>
            <w:tcBorders>
              <w:top w:val="nil"/>
              <w:left w:val="nil"/>
              <w:bottom w:val="nil"/>
              <w:right w:val="nil"/>
            </w:tcBorders>
            <w:shd w:val="clear" w:color="auto" w:fill="FFFFFF"/>
            <w:vAlign w:val="bottom"/>
          </w:tcPr>
          <w:p w14:paraId="6D628C79"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nil"/>
              <w:right w:val="nil"/>
            </w:tcBorders>
            <w:shd w:val="clear" w:color="auto" w:fill="FFFFFF"/>
            <w:vAlign w:val="bottom"/>
          </w:tcPr>
          <w:p w14:paraId="78B3FF81" w14:textId="77777777" w:rsidR="00553543" w:rsidRDefault="00553543">
            <w:pPr>
              <w:keepNext/>
              <w:pBdr>
                <w:top w:val="nil"/>
                <w:left w:val="nil"/>
                <w:bottom w:val="nil"/>
                <w:right w:val="nil"/>
                <w:between w:val="nil"/>
                <w:bar w:val="nil"/>
              </w:pBdr>
              <w:jc w:val="center"/>
              <w:rPr>
                <w:b/>
                <w:color w:val="000000"/>
              </w:rPr>
            </w:pPr>
          </w:p>
        </w:tc>
        <w:tc>
          <w:tcPr>
            <w:tcW w:w="50" w:type="pct"/>
            <w:tcBorders>
              <w:top w:val="nil"/>
              <w:left w:val="nil"/>
              <w:bottom w:val="nil"/>
              <w:right w:val="nil"/>
            </w:tcBorders>
            <w:shd w:val="clear" w:color="auto" w:fill="FFFFFF"/>
            <w:vAlign w:val="bottom"/>
          </w:tcPr>
          <w:p w14:paraId="2C5DFA51" w14:textId="77777777" w:rsidR="00553543" w:rsidRDefault="00553543">
            <w:pPr>
              <w:keepNext/>
              <w:pBdr>
                <w:top w:val="nil"/>
                <w:left w:val="nil"/>
                <w:bottom w:val="nil"/>
                <w:right w:val="nil"/>
                <w:between w:val="nil"/>
                <w:bar w:val="nil"/>
              </w:pBdr>
              <w:jc w:val="center"/>
              <w:rPr>
                <w:b/>
                <w:color w:val="000000"/>
              </w:rPr>
            </w:pPr>
          </w:p>
        </w:tc>
        <w:tc>
          <w:tcPr>
            <w:tcW w:w="73" w:type="pct"/>
            <w:tcBorders>
              <w:top w:val="single" w:sz="4" w:space="0" w:color="000000"/>
              <w:left w:val="nil"/>
              <w:bottom w:val="nil"/>
              <w:right w:val="nil"/>
            </w:tcBorders>
            <w:shd w:val="clear" w:color="auto" w:fill="FFFFFF"/>
            <w:vAlign w:val="bottom"/>
          </w:tcPr>
          <w:p w14:paraId="2C58B20B"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nil"/>
              <w:right w:val="nil"/>
            </w:tcBorders>
            <w:shd w:val="clear" w:color="auto" w:fill="FFFFFF"/>
            <w:vAlign w:val="bottom"/>
          </w:tcPr>
          <w:p w14:paraId="61B327CF" w14:textId="77777777" w:rsidR="00553543" w:rsidRDefault="00553543">
            <w:pPr>
              <w:keepNext/>
              <w:pBdr>
                <w:top w:val="nil"/>
                <w:left w:val="nil"/>
                <w:bottom w:val="nil"/>
                <w:right w:val="nil"/>
                <w:between w:val="nil"/>
                <w:bar w:val="nil"/>
              </w:pBdr>
              <w:jc w:val="center"/>
              <w:rPr>
                <w:b/>
                <w:color w:val="000000"/>
              </w:rPr>
            </w:pPr>
          </w:p>
        </w:tc>
        <w:tc>
          <w:tcPr>
            <w:tcW w:w="50" w:type="pct"/>
            <w:tcBorders>
              <w:top w:val="nil"/>
              <w:left w:val="nil"/>
              <w:bottom w:val="nil"/>
              <w:right w:val="nil"/>
            </w:tcBorders>
            <w:shd w:val="clear" w:color="auto" w:fill="FFFFFF"/>
            <w:vAlign w:val="bottom"/>
          </w:tcPr>
          <w:p w14:paraId="310B2BE8" w14:textId="77777777" w:rsidR="00553543" w:rsidRDefault="00553543">
            <w:pPr>
              <w:keepNext/>
              <w:pBdr>
                <w:top w:val="nil"/>
                <w:left w:val="nil"/>
                <w:bottom w:val="nil"/>
                <w:right w:val="nil"/>
                <w:between w:val="nil"/>
                <w:bar w:val="nil"/>
              </w:pBdr>
              <w:jc w:val="center"/>
              <w:rPr>
                <w:b/>
                <w:color w:val="000000"/>
              </w:rPr>
            </w:pPr>
          </w:p>
        </w:tc>
        <w:tc>
          <w:tcPr>
            <w:tcW w:w="85" w:type="pct"/>
            <w:tcBorders>
              <w:top w:val="single" w:sz="4" w:space="0" w:color="000000"/>
              <w:left w:val="nil"/>
              <w:bottom w:val="nil"/>
              <w:right w:val="nil"/>
            </w:tcBorders>
            <w:shd w:val="clear" w:color="auto" w:fill="FFFFFF"/>
            <w:vAlign w:val="bottom"/>
          </w:tcPr>
          <w:p w14:paraId="14A038DA"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61B1C74E" w14:textId="77777777" w:rsidR="00553543" w:rsidRDefault="00584985">
            <w:pPr>
              <w:keepNext/>
              <w:pBdr>
                <w:top w:val="nil"/>
                <w:left w:val="nil"/>
                <w:bottom w:val="nil"/>
                <w:right w:val="nil"/>
                <w:between w:val="nil"/>
                <w:bar w:val="nil"/>
              </w:pBdr>
              <w:jc w:val="center"/>
              <w:rPr>
                <w:b/>
                <w:color w:val="000000"/>
              </w:rPr>
            </w:pPr>
            <w:r>
              <w:rPr>
                <w:b/>
                <w:color w:val="000000"/>
              </w:rPr>
              <w:t>$</w:t>
            </w:r>
          </w:p>
        </w:tc>
        <w:tc>
          <w:tcPr>
            <w:tcW w:w="50" w:type="pct"/>
            <w:tcBorders>
              <w:top w:val="nil"/>
              <w:left w:val="nil"/>
              <w:bottom w:val="nil"/>
              <w:right w:val="nil"/>
            </w:tcBorders>
            <w:shd w:val="clear" w:color="auto" w:fill="FFFFFF"/>
            <w:vAlign w:val="bottom"/>
          </w:tcPr>
          <w:p w14:paraId="7C37D971" w14:textId="77777777" w:rsidR="00553543" w:rsidRDefault="00553543">
            <w:pPr>
              <w:keepNext/>
              <w:pBdr>
                <w:top w:val="nil"/>
                <w:left w:val="nil"/>
                <w:bottom w:val="nil"/>
                <w:right w:val="nil"/>
                <w:between w:val="nil"/>
                <w:bar w:val="nil"/>
              </w:pBdr>
              <w:jc w:val="center"/>
              <w:rPr>
                <w:b/>
                <w:color w:val="000000"/>
              </w:rPr>
            </w:pPr>
          </w:p>
        </w:tc>
        <w:tc>
          <w:tcPr>
            <w:tcW w:w="50" w:type="pct"/>
            <w:tcBorders>
              <w:top w:val="single" w:sz="4" w:space="0" w:color="000000"/>
              <w:left w:val="nil"/>
              <w:bottom w:val="nil"/>
              <w:right w:val="nil"/>
            </w:tcBorders>
            <w:shd w:val="clear" w:color="auto" w:fill="FFFFFF"/>
            <w:vAlign w:val="bottom"/>
          </w:tcPr>
          <w:p w14:paraId="059DC9A7"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114DBA0D" w14:textId="77777777" w:rsidR="00553543" w:rsidRDefault="00584985">
            <w:pPr>
              <w:keepNext/>
              <w:pBdr>
                <w:top w:val="nil"/>
                <w:left w:val="nil"/>
                <w:bottom w:val="nil"/>
                <w:right w:val="nil"/>
                <w:between w:val="nil"/>
                <w:bar w:val="nil"/>
              </w:pBdr>
              <w:jc w:val="center"/>
              <w:rPr>
                <w:b/>
                <w:color w:val="000000"/>
              </w:rPr>
            </w:pPr>
            <w:r>
              <w:rPr>
                <w:b/>
                <w:color w:val="000000"/>
              </w:rPr>
              <w:t>%</w:t>
            </w:r>
          </w:p>
        </w:tc>
        <w:tc>
          <w:tcPr>
            <w:tcW w:w="124" w:type="pct"/>
            <w:tcBorders>
              <w:top w:val="nil"/>
              <w:left w:val="nil"/>
              <w:bottom w:val="nil"/>
              <w:right w:val="nil"/>
            </w:tcBorders>
            <w:shd w:val="clear" w:color="auto" w:fill="FFFFFF"/>
            <w:vAlign w:val="bottom"/>
          </w:tcPr>
          <w:p w14:paraId="6DE748E8" w14:textId="77777777" w:rsidR="00553543" w:rsidRDefault="00553543">
            <w:pPr>
              <w:keepNext/>
              <w:pBdr>
                <w:top w:val="nil"/>
                <w:left w:val="nil"/>
                <w:bottom w:val="nil"/>
                <w:right w:val="nil"/>
                <w:between w:val="nil"/>
                <w:bar w:val="nil"/>
              </w:pBdr>
              <w:jc w:val="center"/>
              <w:rPr>
                <w:b/>
                <w:color w:val="000000"/>
              </w:rPr>
            </w:pPr>
          </w:p>
        </w:tc>
      </w:tr>
      <w:tr w:rsidR="00553543" w14:paraId="01193682" w14:textId="77777777">
        <w:trPr>
          <w:jc w:val="center"/>
        </w:trPr>
        <w:tc>
          <w:tcPr>
            <w:tcW w:w="2027" w:type="pct"/>
            <w:tcBorders>
              <w:top w:val="nil"/>
              <w:left w:val="nil"/>
              <w:bottom w:val="nil"/>
              <w:right w:val="nil"/>
            </w:tcBorders>
            <w:shd w:val="clear" w:color="auto" w:fill="FFFFFF"/>
            <w:vAlign w:val="bottom"/>
          </w:tcPr>
          <w:p w14:paraId="5140919C" w14:textId="77777777" w:rsidR="00553543" w:rsidRDefault="00553543">
            <w:pPr>
              <w:keepNext/>
              <w:pBdr>
                <w:top w:val="nil"/>
                <w:left w:val="nil"/>
                <w:bottom w:val="nil"/>
                <w:right w:val="nil"/>
                <w:between w:val="nil"/>
                <w:bar w:val="nil"/>
              </w:pBdr>
              <w:jc w:val="center"/>
              <w:rPr>
                <w:b/>
                <w:color w:val="000000"/>
              </w:rPr>
            </w:pPr>
          </w:p>
        </w:tc>
        <w:tc>
          <w:tcPr>
            <w:tcW w:w="61" w:type="pct"/>
            <w:tcBorders>
              <w:top w:val="nil"/>
              <w:left w:val="nil"/>
              <w:bottom w:val="nil"/>
              <w:right w:val="nil"/>
            </w:tcBorders>
            <w:shd w:val="clear" w:color="auto" w:fill="FFFFFF"/>
            <w:vAlign w:val="bottom"/>
          </w:tcPr>
          <w:p w14:paraId="351EE9AF"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nil"/>
              <w:left w:val="nil"/>
              <w:bottom w:val="single" w:sz="4" w:space="0" w:color="000000"/>
              <w:right w:val="nil"/>
            </w:tcBorders>
            <w:shd w:val="clear" w:color="auto" w:fill="FFFFFF"/>
            <w:vAlign w:val="bottom"/>
          </w:tcPr>
          <w:p w14:paraId="7DF7BA82" w14:textId="77777777" w:rsidR="00553543" w:rsidRDefault="00584985">
            <w:pPr>
              <w:keepNext/>
              <w:pBdr>
                <w:top w:val="nil"/>
                <w:left w:val="nil"/>
                <w:bottom w:val="nil"/>
                <w:right w:val="nil"/>
                <w:between w:val="nil"/>
                <w:bar w:val="nil"/>
              </w:pBdr>
              <w:jc w:val="center"/>
              <w:rPr>
                <w:b/>
                <w:color w:val="000000"/>
              </w:rPr>
            </w:pPr>
            <w:r>
              <w:rPr>
                <w:b/>
                <w:color w:val="000000"/>
              </w:rPr>
              <w:t>2025</w:t>
            </w:r>
          </w:p>
        </w:tc>
        <w:tc>
          <w:tcPr>
            <w:tcW w:w="50" w:type="pct"/>
            <w:tcBorders>
              <w:top w:val="nil"/>
              <w:left w:val="nil"/>
              <w:bottom w:val="nil"/>
              <w:right w:val="nil"/>
            </w:tcBorders>
            <w:shd w:val="clear" w:color="auto" w:fill="FFFFFF"/>
            <w:vAlign w:val="bottom"/>
          </w:tcPr>
          <w:p w14:paraId="23BB0890" w14:textId="77777777" w:rsidR="00553543" w:rsidRDefault="00553543">
            <w:pPr>
              <w:keepNext/>
              <w:pBdr>
                <w:top w:val="nil"/>
                <w:left w:val="nil"/>
                <w:bottom w:val="nil"/>
                <w:right w:val="nil"/>
                <w:between w:val="nil"/>
                <w:bar w:val="nil"/>
              </w:pBdr>
              <w:jc w:val="center"/>
              <w:rPr>
                <w:b/>
                <w:color w:val="000000"/>
              </w:rPr>
            </w:pPr>
          </w:p>
        </w:tc>
        <w:tc>
          <w:tcPr>
            <w:tcW w:w="73" w:type="pct"/>
            <w:tcBorders>
              <w:top w:val="nil"/>
              <w:left w:val="nil"/>
              <w:bottom w:val="nil"/>
              <w:right w:val="nil"/>
            </w:tcBorders>
            <w:shd w:val="clear" w:color="auto" w:fill="FFFFFF"/>
            <w:vAlign w:val="bottom"/>
          </w:tcPr>
          <w:p w14:paraId="59442F30"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nil"/>
              <w:left w:val="nil"/>
              <w:bottom w:val="single" w:sz="4" w:space="0" w:color="000000"/>
              <w:right w:val="nil"/>
            </w:tcBorders>
            <w:shd w:val="clear" w:color="auto" w:fill="FFFFFF"/>
            <w:vAlign w:val="bottom"/>
          </w:tcPr>
          <w:p w14:paraId="27D32B17" w14:textId="77777777" w:rsidR="00553543" w:rsidRDefault="00584985">
            <w:pPr>
              <w:keepNext/>
              <w:pBdr>
                <w:top w:val="nil"/>
                <w:left w:val="nil"/>
                <w:bottom w:val="nil"/>
                <w:right w:val="nil"/>
                <w:between w:val="nil"/>
                <w:bar w:val="nil"/>
              </w:pBdr>
              <w:jc w:val="center"/>
              <w:rPr>
                <w:b/>
                <w:color w:val="000000"/>
              </w:rPr>
            </w:pPr>
            <w:r>
              <w:rPr>
                <w:b/>
                <w:color w:val="000000"/>
              </w:rPr>
              <w:t>2024</w:t>
            </w:r>
          </w:p>
        </w:tc>
        <w:tc>
          <w:tcPr>
            <w:tcW w:w="50" w:type="pct"/>
            <w:tcBorders>
              <w:top w:val="nil"/>
              <w:left w:val="nil"/>
              <w:bottom w:val="nil"/>
              <w:right w:val="nil"/>
            </w:tcBorders>
            <w:shd w:val="clear" w:color="auto" w:fill="FFFFFF"/>
            <w:vAlign w:val="bottom"/>
          </w:tcPr>
          <w:p w14:paraId="6B28E559" w14:textId="77777777" w:rsidR="00553543" w:rsidRDefault="00553543">
            <w:pPr>
              <w:keepNext/>
              <w:pBdr>
                <w:top w:val="nil"/>
                <w:left w:val="nil"/>
                <w:bottom w:val="nil"/>
                <w:right w:val="nil"/>
                <w:between w:val="nil"/>
                <w:bar w:val="nil"/>
              </w:pBdr>
              <w:jc w:val="center"/>
              <w:rPr>
                <w:b/>
                <w:color w:val="000000"/>
              </w:rPr>
            </w:pPr>
          </w:p>
        </w:tc>
        <w:tc>
          <w:tcPr>
            <w:tcW w:w="85" w:type="pct"/>
            <w:tcBorders>
              <w:top w:val="nil"/>
              <w:left w:val="nil"/>
              <w:bottom w:val="nil"/>
              <w:right w:val="nil"/>
            </w:tcBorders>
            <w:shd w:val="clear" w:color="auto" w:fill="FFFFFF"/>
            <w:vAlign w:val="bottom"/>
          </w:tcPr>
          <w:p w14:paraId="1AF378ED"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0972DDAA" w14:textId="77777777" w:rsidR="00553543" w:rsidRDefault="00584985">
            <w:pPr>
              <w:keepNext/>
              <w:pBdr>
                <w:top w:val="nil"/>
                <w:left w:val="nil"/>
                <w:bottom w:val="nil"/>
                <w:right w:val="nil"/>
                <w:between w:val="nil"/>
                <w:bar w:val="nil"/>
              </w:pBdr>
              <w:jc w:val="center"/>
              <w:rPr>
                <w:b/>
                <w:color w:val="000000"/>
              </w:rPr>
            </w:pPr>
            <w:r>
              <w:rPr>
                <w:b/>
                <w:color w:val="000000"/>
              </w:rPr>
              <w:t>Inc/(Dec)</w:t>
            </w:r>
          </w:p>
        </w:tc>
        <w:tc>
          <w:tcPr>
            <w:tcW w:w="50" w:type="pct"/>
            <w:tcBorders>
              <w:top w:val="nil"/>
              <w:left w:val="nil"/>
              <w:bottom w:val="nil"/>
              <w:right w:val="nil"/>
            </w:tcBorders>
            <w:shd w:val="clear" w:color="auto" w:fill="FFFFFF"/>
            <w:vAlign w:val="bottom"/>
          </w:tcPr>
          <w:p w14:paraId="16AE73C4" w14:textId="77777777" w:rsidR="00553543" w:rsidRDefault="00553543">
            <w:pPr>
              <w:keepNext/>
              <w:pBdr>
                <w:top w:val="nil"/>
                <w:left w:val="nil"/>
                <w:bottom w:val="nil"/>
                <w:right w:val="nil"/>
                <w:between w:val="nil"/>
                <w:bar w:val="nil"/>
              </w:pBdr>
              <w:jc w:val="center"/>
              <w:rPr>
                <w:b/>
                <w:color w:val="000000"/>
              </w:rPr>
            </w:pPr>
          </w:p>
        </w:tc>
        <w:tc>
          <w:tcPr>
            <w:tcW w:w="50" w:type="pct"/>
            <w:tcBorders>
              <w:top w:val="nil"/>
              <w:left w:val="nil"/>
              <w:bottom w:val="nil"/>
              <w:right w:val="nil"/>
            </w:tcBorders>
            <w:shd w:val="clear" w:color="auto" w:fill="FFFFFF"/>
            <w:vAlign w:val="bottom"/>
          </w:tcPr>
          <w:p w14:paraId="3D9BD1BD"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1DCA0798" w14:textId="77777777" w:rsidR="00553543" w:rsidRDefault="00584985">
            <w:pPr>
              <w:keepNext/>
              <w:pBdr>
                <w:top w:val="nil"/>
                <w:left w:val="nil"/>
                <w:bottom w:val="nil"/>
                <w:right w:val="nil"/>
                <w:between w:val="nil"/>
                <w:bar w:val="nil"/>
              </w:pBdr>
              <w:jc w:val="center"/>
              <w:rPr>
                <w:b/>
                <w:color w:val="000000"/>
              </w:rPr>
            </w:pPr>
            <w:r>
              <w:rPr>
                <w:b/>
                <w:color w:val="000000"/>
              </w:rPr>
              <w:t>Inc/(Dec)</w:t>
            </w:r>
          </w:p>
        </w:tc>
        <w:tc>
          <w:tcPr>
            <w:tcW w:w="124" w:type="pct"/>
            <w:tcBorders>
              <w:top w:val="nil"/>
              <w:left w:val="nil"/>
              <w:bottom w:val="nil"/>
              <w:right w:val="nil"/>
            </w:tcBorders>
            <w:shd w:val="clear" w:color="auto" w:fill="FFFFFF"/>
            <w:vAlign w:val="bottom"/>
          </w:tcPr>
          <w:p w14:paraId="6A921414" w14:textId="77777777" w:rsidR="00553543" w:rsidRDefault="00553543">
            <w:pPr>
              <w:keepNext/>
              <w:pBdr>
                <w:top w:val="nil"/>
                <w:left w:val="nil"/>
                <w:bottom w:val="nil"/>
                <w:right w:val="nil"/>
                <w:between w:val="nil"/>
                <w:bar w:val="nil"/>
              </w:pBdr>
              <w:jc w:val="center"/>
              <w:rPr>
                <w:b/>
                <w:color w:val="000000"/>
              </w:rPr>
            </w:pPr>
          </w:p>
        </w:tc>
      </w:tr>
      <w:tr w:rsidR="00553543" w14:paraId="5D888D12" w14:textId="77777777">
        <w:trPr>
          <w:jc w:val="center"/>
        </w:trPr>
        <w:tc>
          <w:tcPr>
            <w:tcW w:w="2027" w:type="pct"/>
            <w:tcBorders>
              <w:top w:val="nil"/>
              <w:left w:val="nil"/>
              <w:bottom w:val="nil"/>
              <w:right w:val="nil"/>
            </w:tcBorders>
            <w:shd w:val="clear" w:color="auto" w:fill="CFF0FC"/>
          </w:tcPr>
          <w:p w14:paraId="3F4CDAA4" w14:textId="77777777" w:rsidR="00553543" w:rsidRDefault="00584985">
            <w:pPr>
              <w:keepNext/>
              <w:pBdr>
                <w:top w:val="nil"/>
                <w:left w:val="nil"/>
                <w:bottom w:val="nil"/>
                <w:right w:val="nil"/>
                <w:between w:val="nil"/>
                <w:bar w:val="nil"/>
              </w:pBdr>
              <w:rPr>
                <w:b/>
                <w:color w:val="000000"/>
              </w:rPr>
            </w:pPr>
            <w:r>
              <w:rPr>
                <w:b/>
                <w:color w:val="000000"/>
              </w:rPr>
              <w:t>REVENUES:</w:t>
            </w:r>
          </w:p>
        </w:tc>
        <w:tc>
          <w:tcPr>
            <w:tcW w:w="61" w:type="pct"/>
            <w:tcBorders>
              <w:top w:val="nil"/>
              <w:left w:val="nil"/>
              <w:bottom w:val="nil"/>
              <w:right w:val="nil"/>
            </w:tcBorders>
            <w:shd w:val="clear" w:color="auto" w:fill="CFF0FC"/>
            <w:vAlign w:val="bottom"/>
          </w:tcPr>
          <w:p w14:paraId="026C8F03"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19B72555"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221FED0C" w14:textId="77777777" w:rsidR="00553543" w:rsidRDefault="00553543">
            <w:pPr>
              <w:keepNext/>
              <w:pBdr>
                <w:top w:val="nil"/>
                <w:left w:val="nil"/>
                <w:bottom w:val="nil"/>
                <w:right w:val="nil"/>
                <w:between w:val="nil"/>
                <w:bar w:val="nil"/>
              </w:pBdr>
              <w:jc w:val="right"/>
              <w:rPr>
                <w:color w:val="000000"/>
              </w:rPr>
            </w:pPr>
          </w:p>
        </w:tc>
        <w:tc>
          <w:tcPr>
            <w:tcW w:w="73" w:type="pct"/>
            <w:tcBorders>
              <w:top w:val="nil"/>
              <w:left w:val="nil"/>
              <w:bottom w:val="nil"/>
              <w:right w:val="nil"/>
            </w:tcBorders>
            <w:shd w:val="clear" w:color="auto" w:fill="CFF0FC"/>
            <w:vAlign w:val="bottom"/>
          </w:tcPr>
          <w:p w14:paraId="3DD5B48F"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4A7CAB90"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2BCE9672" w14:textId="77777777" w:rsidR="00553543" w:rsidRDefault="00553543">
            <w:pPr>
              <w:keepNext/>
              <w:pBdr>
                <w:top w:val="nil"/>
                <w:left w:val="nil"/>
                <w:bottom w:val="nil"/>
                <w:right w:val="nil"/>
                <w:between w:val="nil"/>
                <w:bar w:val="nil"/>
              </w:pBdr>
              <w:jc w:val="right"/>
              <w:rPr>
                <w:color w:val="000000"/>
              </w:rPr>
            </w:pPr>
          </w:p>
        </w:tc>
        <w:tc>
          <w:tcPr>
            <w:tcW w:w="85" w:type="pct"/>
            <w:tcBorders>
              <w:top w:val="nil"/>
              <w:left w:val="nil"/>
              <w:bottom w:val="nil"/>
              <w:right w:val="nil"/>
            </w:tcBorders>
            <w:shd w:val="clear" w:color="auto" w:fill="CFF0FC"/>
            <w:vAlign w:val="bottom"/>
          </w:tcPr>
          <w:p w14:paraId="2F6E52CE"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366B75F0"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53984E81"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15088E4C"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0447AE83"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4CFE9435" w14:textId="77777777" w:rsidR="00553543" w:rsidRDefault="00553543">
            <w:pPr>
              <w:keepNext/>
              <w:pBdr>
                <w:top w:val="nil"/>
                <w:left w:val="nil"/>
                <w:bottom w:val="nil"/>
                <w:right w:val="nil"/>
                <w:between w:val="nil"/>
                <w:bar w:val="nil"/>
              </w:pBdr>
              <w:jc w:val="right"/>
              <w:rPr>
                <w:color w:val="000000"/>
              </w:rPr>
            </w:pPr>
          </w:p>
        </w:tc>
      </w:tr>
      <w:tr w:rsidR="00553543" w14:paraId="31101A59" w14:textId="77777777">
        <w:trPr>
          <w:jc w:val="center"/>
        </w:trPr>
        <w:tc>
          <w:tcPr>
            <w:tcW w:w="2027" w:type="pct"/>
            <w:tcBorders>
              <w:top w:val="nil"/>
              <w:left w:val="nil"/>
              <w:bottom w:val="nil"/>
              <w:right w:val="nil"/>
            </w:tcBorders>
            <w:shd w:val="clear" w:color="auto" w:fill="FFFFFF"/>
          </w:tcPr>
          <w:p w14:paraId="5A98C0E2" w14:textId="77777777" w:rsidR="00553543" w:rsidRDefault="00584985">
            <w:pPr>
              <w:keepNext/>
              <w:pBdr>
                <w:top w:val="nil"/>
                <w:left w:val="nil"/>
                <w:bottom w:val="nil"/>
                <w:right w:val="nil"/>
                <w:between w:val="nil"/>
                <w:bar w:val="nil"/>
              </w:pBdr>
              <w:rPr>
                <w:color w:val="000000"/>
              </w:rPr>
            </w:pPr>
            <w:r>
              <w:rPr>
                <w:color w:val="000000"/>
              </w:rPr>
              <w:t>Service revenues</w:t>
            </w:r>
          </w:p>
        </w:tc>
        <w:tc>
          <w:tcPr>
            <w:tcW w:w="61" w:type="pct"/>
            <w:tcBorders>
              <w:top w:val="nil"/>
              <w:left w:val="nil"/>
              <w:bottom w:val="nil"/>
              <w:right w:val="nil"/>
            </w:tcBorders>
            <w:shd w:val="clear" w:color="auto" w:fill="FFFFFF"/>
            <w:vAlign w:val="bottom"/>
          </w:tcPr>
          <w:p w14:paraId="312C73AC"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115E5199"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FFFFFF"/>
            <w:vAlign w:val="bottom"/>
          </w:tcPr>
          <w:p w14:paraId="6A6D1254" w14:textId="77777777" w:rsidR="00553543" w:rsidRDefault="00584985">
            <w:pPr>
              <w:keepNext/>
              <w:pBdr>
                <w:top w:val="nil"/>
                <w:left w:val="nil"/>
                <w:bottom w:val="nil"/>
                <w:right w:val="nil"/>
                <w:between w:val="nil"/>
                <w:bar w:val="nil"/>
              </w:pBdr>
              <w:jc w:val="right"/>
              <w:rPr>
                <w:color w:val="000000"/>
              </w:rPr>
            </w:pPr>
            <w:r>
              <w:rPr>
                <w:color w:val="000000"/>
              </w:rPr>
              <w:t>178,519</w:t>
            </w:r>
          </w:p>
        </w:tc>
        <w:tc>
          <w:tcPr>
            <w:tcW w:w="50" w:type="pct"/>
            <w:tcBorders>
              <w:top w:val="nil"/>
              <w:left w:val="nil"/>
              <w:bottom w:val="nil"/>
              <w:right w:val="nil"/>
            </w:tcBorders>
            <w:shd w:val="clear" w:color="auto" w:fill="FFFFFF"/>
            <w:vAlign w:val="bottom"/>
          </w:tcPr>
          <w:p w14:paraId="7564FFBF"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3EB43D6B"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23A5159A"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FFFFFF"/>
            <w:vAlign w:val="bottom"/>
          </w:tcPr>
          <w:p w14:paraId="0F3A85B9" w14:textId="77777777" w:rsidR="00553543" w:rsidRDefault="00584985">
            <w:pPr>
              <w:keepNext/>
              <w:pBdr>
                <w:top w:val="nil"/>
                <w:left w:val="nil"/>
                <w:bottom w:val="nil"/>
                <w:right w:val="nil"/>
                <w:between w:val="nil"/>
                <w:bar w:val="nil"/>
              </w:pBdr>
              <w:jc w:val="right"/>
              <w:rPr>
                <w:color w:val="000000"/>
              </w:rPr>
            </w:pPr>
            <w:r>
              <w:rPr>
                <w:color w:val="000000"/>
              </w:rPr>
              <w:t>172,209</w:t>
            </w:r>
          </w:p>
        </w:tc>
        <w:tc>
          <w:tcPr>
            <w:tcW w:w="50" w:type="pct"/>
            <w:tcBorders>
              <w:top w:val="nil"/>
              <w:left w:val="nil"/>
              <w:bottom w:val="nil"/>
              <w:right w:val="nil"/>
            </w:tcBorders>
            <w:shd w:val="clear" w:color="auto" w:fill="FFFFFF"/>
            <w:vAlign w:val="bottom"/>
          </w:tcPr>
          <w:p w14:paraId="5328B657"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5BE800EB"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6E7824FD" w14:textId="77777777" w:rsidR="00553543" w:rsidRDefault="00584985">
            <w:pPr>
              <w:keepNext/>
              <w:pBdr>
                <w:top w:val="nil"/>
                <w:left w:val="nil"/>
                <w:bottom w:val="nil"/>
                <w:right w:val="nil"/>
                <w:between w:val="nil"/>
                <w:bar w:val="nil"/>
              </w:pBdr>
              <w:rPr>
                <w:color w:val="000000"/>
              </w:rPr>
            </w:pPr>
            <w:r>
              <w:rPr>
                <w:color w:val="000000"/>
              </w:rPr>
              <w:t>$</w:t>
            </w:r>
          </w:p>
        </w:tc>
        <w:tc>
          <w:tcPr>
            <w:tcW w:w="562" w:type="pct"/>
            <w:tcBorders>
              <w:top w:val="nil"/>
              <w:left w:val="nil"/>
              <w:bottom w:val="nil"/>
              <w:right w:val="nil"/>
            </w:tcBorders>
            <w:shd w:val="clear" w:color="auto" w:fill="FFFFFF"/>
            <w:vAlign w:val="bottom"/>
          </w:tcPr>
          <w:p w14:paraId="122FF426" w14:textId="77777777" w:rsidR="00553543" w:rsidRDefault="00584985">
            <w:pPr>
              <w:keepNext/>
              <w:pBdr>
                <w:top w:val="nil"/>
                <w:left w:val="nil"/>
                <w:bottom w:val="nil"/>
                <w:right w:val="nil"/>
                <w:between w:val="nil"/>
                <w:bar w:val="nil"/>
              </w:pBdr>
              <w:jc w:val="right"/>
              <w:rPr>
                <w:color w:val="000000"/>
              </w:rPr>
            </w:pPr>
            <w:r>
              <w:rPr>
                <w:color w:val="000000"/>
              </w:rPr>
              <w:t>6,310</w:t>
            </w:r>
          </w:p>
        </w:tc>
        <w:tc>
          <w:tcPr>
            <w:tcW w:w="50" w:type="pct"/>
            <w:tcBorders>
              <w:top w:val="nil"/>
              <w:left w:val="nil"/>
              <w:bottom w:val="nil"/>
              <w:right w:val="nil"/>
            </w:tcBorders>
            <w:shd w:val="clear" w:color="auto" w:fill="FFFFFF"/>
            <w:vAlign w:val="bottom"/>
          </w:tcPr>
          <w:p w14:paraId="54B6218E"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6A3236ED"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237202FB"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FFFFFF"/>
            <w:vAlign w:val="bottom"/>
          </w:tcPr>
          <w:p w14:paraId="67E92BB3" w14:textId="77777777" w:rsidR="00553543" w:rsidRDefault="00584985">
            <w:pPr>
              <w:keepNext/>
              <w:pBdr>
                <w:top w:val="nil"/>
                <w:left w:val="nil"/>
                <w:bottom w:val="nil"/>
                <w:right w:val="nil"/>
                <w:between w:val="nil"/>
                <w:bar w:val="nil"/>
              </w:pBdr>
              <w:jc w:val="right"/>
              <w:rPr>
                <w:color w:val="000000"/>
              </w:rPr>
            </w:pPr>
            <w:r>
              <w:rPr>
                <w:color w:val="000000"/>
              </w:rPr>
              <w:t>4</w:t>
            </w:r>
          </w:p>
        </w:tc>
        <w:tc>
          <w:tcPr>
            <w:tcW w:w="124" w:type="pct"/>
            <w:tcBorders>
              <w:top w:val="nil"/>
              <w:left w:val="nil"/>
              <w:bottom w:val="nil"/>
              <w:right w:val="nil"/>
            </w:tcBorders>
            <w:shd w:val="clear" w:color="auto" w:fill="FFFFFF"/>
            <w:vAlign w:val="bottom"/>
          </w:tcPr>
          <w:p w14:paraId="773E6E08"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383592EB" w14:textId="77777777">
        <w:trPr>
          <w:jc w:val="center"/>
        </w:trPr>
        <w:tc>
          <w:tcPr>
            <w:tcW w:w="2027" w:type="pct"/>
            <w:tcBorders>
              <w:top w:val="nil"/>
              <w:left w:val="nil"/>
              <w:bottom w:val="nil"/>
              <w:right w:val="nil"/>
            </w:tcBorders>
            <w:shd w:val="clear" w:color="auto" w:fill="CFF0FC"/>
          </w:tcPr>
          <w:p w14:paraId="51CFA278" w14:textId="77777777" w:rsidR="00553543" w:rsidRDefault="00584985">
            <w:pPr>
              <w:keepNext/>
              <w:pBdr>
                <w:top w:val="nil"/>
                <w:left w:val="nil"/>
                <w:bottom w:val="nil"/>
                <w:right w:val="nil"/>
                <w:between w:val="nil"/>
                <w:bar w:val="nil"/>
              </w:pBdr>
              <w:rPr>
                <w:color w:val="000000"/>
              </w:rPr>
            </w:pPr>
            <w:r>
              <w:rPr>
                <w:color w:val="000000"/>
              </w:rPr>
              <w:t>Product revenues</w:t>
            </w:r>
          </w:p>
        </w:tc>
        <w:tc>
          <w:tcPr>
            <w:tcW w:w="61" w:type="pct"/>
            <w:tcBorders>
              <w:top w:val="nil"/>
              <w:left w:val="nil"/>
              <w:bottom w:val="nil"/>
              <w:right w:val="nil"/>
            </w:tcBorders>
            <w:shd w:val="clear" w:color="auto" w:fill="CFF0FC"/>
            <w:vAlign w:val="bottom"/>
          </w:tcPr>
          <w:p w14:paraId="2598C32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708304FB"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CFF0FC"/>
            <w:vAlign w:val="bottom"/>
          </w:tcPr>
          <w:p w14:paraId="6D630745" w14:textId="77777777" w:rsidR="00553543" w:rsidRDefault="00584985">
            <w:pPr>
              <w:keepNext/>
              <w:pBdr>
                <w:top w:val="nil"/>
                <w:left w:val="nil"/>
                <w:bottom w:val="nil"/>
                <w:right w:val="nil"/>
                <w:between w:val="nil"/>
                <w:bar w:val="nil"/>
              </w:pBdr>
              <w:jc w:val="right"/>
              <w:rPr>
                <w:color w:val="000000"/>
              </w:rPr>
            </w:pPr>
            <w:r>
              <w:rPr>
                <w:color w:val="000000"/>
              </w:rPr>
              <w:t>41,111</w:t>
            </w:r>
          </w:p>
        </w:tc>
        <w:tc>
          <w:tcPr>
            <w:tcW w:w="50" w:type="pct"/>
            <w:tcBorders>
              <w:top w:val="nil"/>
              <w:left w:val="nil"/>
              <w:bottom w:val="nil"/>
              <w:right w:val="nil"/>
            </w:tcBorders>
            <w:shd w:val="clear" w:color="auto" w:fill="CFF0FC"/>
            <w:vAlign w:val="bottom"/>
          </w:tcPr>
          <w:p w14:paraId="0B1AC619"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1D2E7371"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1A0F7F09"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CFF0FC"/>
            <w:vAlign w:val="bottom"/>
          </w:tcPr>
          <w:p w14:paraId="5F892C99" w14:textId="77777777" w:rsidR="00553543" w:rsidRDefault="00584985">
            <w:pPr>
              <w:keepNext/>
              <w:pBdr>
                <w:top w:val="nil"/>
                <w:left w:val="nil"/>
                <w:bottom w:val="nil"/>
                <w:right w:val="nil"/>
                <w:between w:val="nil"/>
                <w:bar w:val="nil"/>
              </w:pBdr>
              <w:jc w:val="right"/>
              <w:rPr>
                <w:color w:val="000000"/>
              </w:rPr>
            </w:pPr>
            <w:r>
              <w:rPr>
                <w:color w:val="000000"/>
              </w:rPr>
              <w:t>39,017</w:t>
            </w:r>
          </w:p>
        </w:tc>
        <w:tc>
          <w:tcPr>
            <w:tcW w:w="50" w:type="pct"/>
            <w:tcBorders>
              <w:top w:val="nil"/>
              <w:left w:val="nil"/>
              <w:bottom w:val="nil"/>
              <w:right w:val="nil"/>
            </w:tcBorders>
            <w:shd w:val="clear" w:color="auto" w:fill="CFF0FC"/>
            <w:vAlign w:val="bottom"/>
          </w:tcPr>
          <w:p w14:paraId="2C80C97E"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63BEAD6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251039D1"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single" w:sz="4" w:space="0" w:color="000000"/>
              <w:right w:val="nil"/>
            </w:tcBorders>
            <w:shd w:val="clear" w:color="auto" w:fill="CFF0FC"/>
            <w:vAlign w:val="bottom"/>
          </w:tcPr>
          <w:p w14:paraId="7A86CD21" w14:textId="77777777" w:rsidR="00553543" w:rsidRDefault="00584985">
            <w:pPr>
              <w:keepNext/>
              <w:pBdr>
                <w:top w:val="nil"/>
                <w:left w:val="nil"/>
                <w:bottom w:val="nil"/>
                <w:right w:val="nil"/>
                <w:between w:val="nil"/>
                <w:bar w:val="nil"/>
              </w:pBdr>
              <w:jc w:val="right"/>
              <w:rPr>
                <w:color w:val="000000"/>
              </w:rPr>
            </w:pPr>
            <w:r>
              <w:rPr>
                <w:color w:val="000000"/>
              </w:rPr>
              <w:t>2,094</w:t>
            </w:r>
          </w:p>
        </w:tc>
        <w:tc>
          <w:tcPr>
            <w:tcW w:w="50" w:type="pct"/>
            <w:tcBorders>
              <w:top w:val="nil"/>
              <w:left w:val="nil"/>
              <w:bottom w:val="nil"/>
              <w:right w:val="nil"/>
            </w:tcBorders>
            <w:shd w:val="clear" w:color="auto" w:fill="CFF0FC"/>
            <w:vAlign w:val="bottom"/>
          </w:tcPr>
          <w:p w14:paraId="207872C3"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47D75B69"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single" w:sz="4" w:space="0" w:color="000000"/>
              <w:right w:val="nil"/>
            </w:tcBorders>
            <w:shd w:val="clear" w:color="auto" w:fill="CFF0FC"/>
            <w:vAlign w:val="bottom"/>
          </w:tcPr>
          <w:p w14:paraId="2BDAAA4E"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single" w:sz="4" w:space="0" w:color="000000"/>
              <w:right w:val="nil"/>
            </w:tcBorders>
            <w:shd w:val="clear" w:color="auto" w:fill="CFF0FC"/>
            <w:vAlign w:val="bottom"/>
          </w:tcPr>
          <w:p w14:paraId="7EC44008" w14:textId="77777777" w:rsidR="00553543" w:rsidRDefault="00584985">
            <w:pPr>
              <w:keepNext/>
              <w:pBdr>
                <w:top w:val="nil"/>
                <w:left w:val="nil"/>
                <w:bottom w:val="nil"/>
                <w:right w:val="nil"/>
                <w:between w:val="nil"/>
                <w:bar w:val="nil"/>
              </w:pBdr>
              <w:jc w:val="right"/>
              <w:rPr>
                <w:color w:val="000000"/>
              </w:rPr>
            </w:pPr>
            <w:r>
              <w:rPr>
                <w:color w:val="000000"/>
              </w:rPr>
              <w:t>5</w:t>
            </w:r>
          </w:p>
        </w:tc>
        <w:tc>
          <w:tcPr>
            <w:tcW w:w="124" w:type="pct"/>
            <w:tcBorders>
              <w:top w:val="nil"/>
              <w:left w:val="nil"/>
              <w:bottom w:val="nil"/>
              <w:right w:val="nil"/>
            </w:tcBorders>
            <w:shd w:val="clear" w:color="auto" w:fill="CFF0FC"/>
            <w:vAlign w:val="bottom"/>
          </w:tcPr>
          <w:p w14:paraId="49D980F8"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732F2DAD" w14:textId="77777777">
        <w:trPr>
          <w:jc w:val="center"/>
        </w:trPr>
        <w:tc>
          <w:tcPr>
            <w:tcW w:w="2027" w:type="pct"/>
            <w:tcBorders>
              <w:top w:val="nil"/>
              <w:left w:val="nil"/>
              <w:bottom w:val="nil"/>
              <w:right w:val="nil"/>
            </w:tcBorders>
            <w:shd w:val="clear" w:color="auto" w:fill="FFFFFF"/>
          </w:tcPr>
          <w:p w14:paraId="7A521FA1" w14:textId="77777777" w:rsidR="00553543" w:rsidRDefault="00584985">
            <w:pPr>
              <w:keepNext/>
              <w:pBdr>
                <w:top w:val="nil"/>
                <w:left w:val="nil"/>
                <w:bottom w:val="nil"/>
                <w:right w:val="nil"/>
                <w:between w:val="nil"/>
                <w:bar w:val="nil"/>
              </w:pBdr>
              <w:ind w:left="200"/>
              <w:rPr>
                <w:color w:val="000000"/>
              </w:rPr>
            </w:pPr>
            <w:r>
              <w:rPr>
                <w:color w:val="000000"/>
              </w:rPr>
              <w:t>Total revenues</w:t>
            </w:r>
          </w:p>
        </w:tc>
        <w:tc>
          <w:tcPr>
            <w:tcW w:w="61" w:type="pct"/>
            <w:tcBorders>
              <w:top w:val="nil"/>
              <w:left w:val="nil"/>
              <w:bottom w:val="nil"/>
              <w:right w:val="nil"/>
            </w:tcBorders>
            <w:shd w:val="clear" w:color="auto" w:fill="FFFFFF"/>
            <w:vAlign w:val="bottom"/>
          </w:tcPr>
          <w:p w14:paraId="3B9450A9"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43E72FE5"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17254F7E" w14:textId="77777777" w:rsidR="00553543" w:rsidRDefault="00584985">
            <w:pPr>
              <w:keepNext/>
              <w:pBdr>
                <w:top w:val="nil"/>
                <w:left w:val="nil"/>
                <w:bottom w:val="nil"/>
                <w:right w:val="nil"/>
                <w:between w:val="nil"/>
                <w:bar w:val="nil"/>
              </w:pBdr>
              <w:jc w:val="right"/>
              <w:rPr>
                <w:color w:val="000000"/>
              </w:rPr>
            </w:pPr>
            <w:r>
              <w:rPr>
                <w:color w:val="000000"/>
              </w:rPr>
              <w:t>219,630</w:t>
            </w:r>
          </w:p>
        </w:tc>
        <w:tc>
          <w:tcPr>
            <w:tcW w:w="50" w:type="pct"/>
            <w:tcBorders>
              <w:top w:val="nil"/>
              <w:left w:val="nil"/>
              <w:bottom w:val="nil"/>
              <w:right w:val="nil"/>
            </w:tcBorders>
            <w:shd w:val="clear" w:color="auto" w:fill="FFFFFF"/>
            <w:vAlign w:val="bottom"/>
          </w:tcPr>
          <w:p w14:paraId="0D674C73"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4EEC89AE"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636AB100"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0F153035" w14:textId="77777777" w:rsidR="00553543" w:rsidRDefault="00584985">
            <w:pPr>
              <w:keepNext/>
              <w:pBdr>
                <w:top w:val="nil"/>
                <w:left w:val="nil"/>
                <w:bottom w:val="nil"/>
                <w:right w:val="nil"/>
                <w:between w:val="nil"/>
                <w:bar w:val="nil"/>
              </w:pBdr>
              <w:jc w:val="right"/>
              <w:rPr>
                <w:color w:val="000000"/>
              </w:rPr>
            </w:pPr>
            <w:r>
              <w:rPr>
                <w:color w:val="000000"/>
              </w:rPr>
              <w:t>211,226</w:t>
            </w:r>
          </w:p>
        </w:tc>
        <w:tc>
          <w:tcPr>
            <w:tcW w:w="50" w:type="pct"/>
            <w:tcBorders>
              <w:top w:val="nil"/>
              <w:left w:val="nil"/>
              <w:bottom w:val="nil"/>
              <w:right w:val="nil"/>
            </w:tcBorders>
            <w:shd w:val="clear" w:color="auto" w:fill="FFFFFF"/>
            <w:vAlign w:val="bottom"/>
          </w:tcPr>
          <w:p w14:paraId="3AE7279D"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50E77B04"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5B671F25" w14:textId="77777777" w:rsidR="00553543" w:rsidRDefault="00553543">
            <w:pPr>
              <w:keepNext/>
              <w:pBdr>
                <w:top w:val="nil"/>
                <w:left w:val="nil"/>
                <w:bottom w:val="nil"/>
                <w:right w:val="nil"/>
                <w:between w:val="nil"/>
                <w:bar w:val="nil"/>
              </w:pBdr>
              <w:rPr>
                <w:color w:val="000000"/>
              </w:rPr>
            </w:pPr>
          </w:p>
        </w:tc>
        <w:tc>
          <w:tcPr>
            <w:tcW w:w="562" w:type="pct"/>
            <w:tcBorders>
              <w:top w:val="single" w:sz="4" w:space="0" w:color="000000"/>
              <w:left w:val="nil"/>
              <w:bottom w:val="single" w:sz="4" w:space="0" w:color="000000"/>
              <w:right w:val="nil"/>
            </w:tcBorders>
            <w:shd w:val="clear" w:color="auto" w:fill="FFFFFF"/>
            <w:vAlign w:val="bottom"/>
          </w:tcPr>
          <w:p w14:paraId="1E22AE5A" w14:textId="77777777" w:rsidR="00553543" w:rsidRDefault="00584985">
            <w:pPr>
              <w:keepNext/>
              <w:pBdr>
                <w:top w:val="nil"/>
                <w:left w:val="nil"/>
                <w:bottom w:val="nil"/>
                <w:right w:val="nil"/>
                <w:between w:val="nil"/>
                <w:bar w:val="nil"/>
              </w:pBdr>
              <w:jc w:val="right"/>
              <w:rPr>
                <w:color w:val="000000"/>
              </w:rPr>
            </w:pPr>
            <w:r>
              <w:rPr>
                <w:color w:val="000000"/>
              </w:rPr>
              <w:t>8,404</w:t>
            </w:r>
          </w:p>
        </w:tc>
        <w:tc>
          <w:tcPr>
            <w:tcW w:w="50" w:type="pct"/>
            <w:tcBorders>
              <w:top w:val="nil"/>
              <w:left w:val="nil"/>
              <w:bottom w:val="nil"/>
              <w:right w:val="nil"/>
            </w:tcBorders>
            <w:shd w:val="clear" w:color="auto" w:fill="FFFFFF"/>
            <w:vAlign w:val="bottom"/>
          </w:tcPr>
          <w:p w14:paraId="3387795B"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6F47568C"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single" w:sz="4" w:space="0" w:color="000000"/>
              <w:right w:val="nil"/>
            </w:tcBorders>
            <w:shd w:val="clear" w:color="auto" w:fill="FFFFFF"/>
            <w:vAlign w:val="bottom"/>
          </w:tcPr>
          <w:p w14:paraId="1ED0256F"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single" w:sz="4" w:space="0" w:color="000000"/>
              <w:right w:val="nil"/>
            </w:tcBorders>
            <w:shd w:val="clear" w:color="auto" w:fill="FFFFFF"/>
            <w:vAlign w:val="bottom"/>
          </w:tcPr>
          <w:p w14:paraId="3238CE72" w14:textId="77777777" w:rsidR="00553543" w:rsidRDefault="00584985">
            <w:pPr>
              <w:keepNext/>
              <w:pBdr>
                <w:top w:val="nil"/>
                <w:left w:val="nil"/>
                <w:bottom w:val="nil"/>
                <w:right w:val="nil"/>
                <w:between w:val="nil"/>
                <w:bar w:val="nil"/>
              </w:pBdr>
              <w:jc w:val="right"/>
              <w:rPr>
                <w:color w:val="000000"/>
              </w:rPr>
            </w:pPr>
            <w:r>
              <w:rPr>
                <w:color w:val="000000"/>
              </w:rPr>
              <w:t>4</w:t>
            </w:r>
          </w:p>
        </w:tc>
        <w:tc>
          <w:tcPr>
            <w:tcW w:w="124" w:type="pct"/>
            <w:tcBorders>
              <w:top w:val="nil"/>
              <w:left w:val="nil"/>
              <w:bottom w:val="nil"/>
              <w:right w:val="nil"/>
            </w:tcBorders>
            <w:shd w:val="clear" w:color="auto" w:fill="FFFFFF"/>
            <w:vAlign w:val="bottom"/>
          </w:tcPr>
          <w:p w14:paraId="4854AAF4"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067E9FBF" w14:textId="77777777">
        <w:trPr>
          <w:jc w:val="center"/>
        </w:trPr>
        <w:tc>
          <w:tcPr>
            <w:tcW w:w="2027" w:type="pct"/>
            <w:tcBorders>
              <w:top w:val="nil"/>
              <w:left w:val="nil"/>
              <w:bottom w:val="nil"/>
              <w:right w:val="nil"/>
            </w:tcBorders>
            <w:shd w:val="clear" w:color="auto" w:fill="CFF0FC"/>
          </w:tcPr>
          <w:p w14:paraId="73F83A49" w14:textId="77777777" w:rsidR="00553543" w:rsidRDefault="00584985">
            <w:pPr>
              <w:keepNext/>
              <w:pBdr>
                <w:top w:val="nil"/>
                <w:left w:val="nil"/>
                <w:bottom w:val="nil"/>
                <w:right w:val="nil"/>
                <w:between w:val="nil"/>
                <w:bar w:val="nil"/>
              </w:pBdr>
              <w:rPr>
                <w:b/>
                <w:color w:val="000000"/>
              </w:rPr>
            </w:pPr>
            <w:r>
              <w:rPr>
                <w:b/>
                <w:color w:val="000000"/>
              </w:rPr>
              <w:t>COST OF REVENUES AND</w:t>
            </w:r>
            <w:r>
              <w:rPr>
                <w:b/>
                <w:color w:val="000000"/>
              </w:rPr>
              <w:br/>
              <w:t xml:space="preserve">   OPERATING EXPENSES:</w:t>
            </w:r>
          </w:p>
        </w:tc>
        <w:tc>
          <w:tcPr>
            <w:tcW w:w="61" w:type="pct"/>
            <w:tcBorders>
              <w:top w:val="nil"/>
              <w:left w:val="nil"/>
              <w:bottom w:val="nil"/>
              <w:right w:val="nil"/>
            </w:tcBorders>
            <w:shd w:val="clear" w:color="auto" w:fill="CFF0FC"/>
            <w:vAlign w:val="bottom"/>
          </w:tcPr>
          <w:p w14:paraId="14E0E6DA"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1304F511"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403A45AC" w14:textId="77777777" w:rsidR="00553543" w:rsidRDefault="00553543">
            <w:pPr>
              <w:keepNext/>
              <w:pBdr>
                <w:top w:val="nil"/>
                <w:left w:val="nil"/>
                <w:bottom w:val="nil"/>
                <w:right w:val="nil"/>
                <w:between w:val="nil"/>
                <w:bar w:val="nil"/>
              </w:pBdr>
              <w:jc w:val="right"/>
              <w:rPr>
                <w:color w:val="000000"/>
              </w:rPr>
            </w:pPr>
          </w:p>
        </w:tc>
        <w:tc>
          <w:tcPr>
            <w:tcW w:w="73" w:type="pct"/>
            <w:tcBorders>
              <w:top w:val="nil"/>
              <w:left w:val="nil"/>
              <w:bottom w:val="nil"/>
              <w:right w:val="nil"/>
            </w:tcBorders>
            <w:shd w:val="clear" w:color="auto" w:fill="CFF0FC"/>
            <w:vAlign w:val="bottom"/>
          </w:tcPr>
          <w:p w14:paraId="168FAFAE"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215351AC"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1470F473" w14:textId="77777777" w:rsidR="00553543" w:rsidRDefault="00553543">
            <w:pPr>
              <w:keepNext/>
              <w:pBdr>
                <w:top w:val="nil"/>
                <w:left w:val="nil"/>
                <w:bottom w:val="nil"/>
                <w:right w:val="nil"/>
                <w:between w:val="nil"/>
                <w:bar w:val="nil"/>
              </w:pBdr>
              <w:jc w:val="right"/>
              <w:rPr>
                <w:color w:val="000000"/>
              </w:rPr>
            </w:pPr>
          </w:p>
        </w:tc>
        <w:tc>
          <w:tcPr>
            <w:tcW w:w="85" w:type="pct"/>
            <w:tcBorders>
              <w:top w:val="nil"/>
              <w:left w:val="nil"/>
              <w:bottom w:val="nil"/>
              <w:right w:val="nil"/>
            </w:tcBorders>
            <w:shd w:val="clear" w:color="auto" w:fill="CFF0FC"/>
            <w:vAlign w:val="bottom"/>
          </w:tcPr>
          <w:p w14:paraId="4C5EA5C3"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6609F657"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273C52E8"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504545F4"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0C9979E9"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76E69211" w14:textId="77777777" w:rsidR="00553543" w:rsidRDefault="00553543">
            <w:pPr>
              <w:keepNext/>
              <w:pBdr>
                <w:top w:val="nil"/>
                <w:left w:val="nil"/>
                <w:bottom w:val="nil"/>
                <w:right w:val="nil"/>
                <w:between w:val="nil"/>
                <w:bar w:val="nil"/>
              </w:pBdr>
              <w:jc w:val="right"/>
              <w:rPr>
                <w:color w:val="000000"/>
              </w:rPr>
            </w:pPr>
          </w:p>
        </w:tc>
      </w:tr>
      <w:tr w:rsidR="00553543" w14:paraId="02DFBA75" w14:textId="77777777">
        <w:trPr>
          <w:jc w:val="center"/>
        </w:trPr>
        <w:tc>
          <w:tcPr>
            <w:tcW w:w="2027" w:type="pct"/>
            <w:tcBorders>
              <w:top w:val="nil"/>
              <w:left w:val="nil"/>
              <w:bottom w:val="nil"/>
              <w:right w:val="nil"/>
            </w:tcBorders>
            <w:shd w:val="clear" w:color="auto" w:fill="FFFFFF"/>
          </w:tcPr>
          <w:p w14:paraId="42C328BF" w14:textId="77777777" w:rsidR="00553543" w:rsidRDefault="00584985">
            <w:pPr>
              <w:keepNext/>
              <w:pBdr>
                <w:top w:val="nil"/>
                <w:left w:val="nil"/>
                <w:bottom w:val="nil"/>
                <w:right w:val="nil"/>
                <w:between w:val="nil"/>
                <w:bar w:val="nil"/>
              </w:pBdr>
              <w:rPr>
                <w:color w:val="000000"/>
              </w:rPr>
            </w:pPr>
            <w:r>
              <w:rPr>
                <w:color w:val="000000"/>
              </w:rPr>
              <w:t>Cost of services</w:t>
            </w:r>
          </w:p>
        </w:tc>
        <w:tc>
          <w:tcPr>
            <w:tcW w:w="61" w:type="pct"/>
            <w:tcBorders>
              <w:top w:val="nil"/>
              <w:left w:val="nil"/>
              <w:bottom w:val="nil"/>
              <w:right w:val="nil"/>
            </w:tcBorders>
            <w:shd w:val="clear" w:color="auto" w:fill="FFFFFF"/>
            <w:vAlign w:val="bottom"/>
          </w:tcPr>
          <w:p w14:paraId="53FEF05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76581CD6"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2D574404" w14:textId="77777777" w:rsidR="00553543" w:rsidRDefault="00584985">
            <w:pPr>
              <w:keepNext/>
              <w:pBdr>
                <w:top w:val="nil"/>
                <w:left w:val="nil"/>
                <w:bottom w:val="nil"/>
                <w:right w:val="nil"/>
                <w:between w:val="nil"/>
                <w:bar w:val="nil"/>
              </w:pBdr>
              <w:jc w:val="right"/>
              <w:rPr>
                <w:color w:val="000000"/>
              </w:rPr>
            </w:pPr>
            <w:r>
              <w:rPr>
                <w:color w:val="000000"/>
              </w:rPr>
              <w:t>148,154</w:t>
            </w:r>
          </w:p>
        </w:tc>
        <w:tc>
          <w:tcPr>
            <w:tcW w:w="50" w:type="pct"/>
            <w:tcBorders>
              <w:top w:val="nil"/>
              <w:left w:val="nil"/>
              <w:bottom w:val="nil"/>
              <w:right w:val="nil"/>
            </w:tcBorders>
            <w:shd w:val="clear" w:color="auto" w:fill="FFFFFF"/>
            <w:vAlign w:val="bottom"/>
          </w:tcPr>
          <w:p w14:paraId="07D9141D"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2DE55B07"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52E1E1C0"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3E9E6428" w14:textId="77777777" w:rsidR="00553543" w:rsidRDefault="00584985">
            <w:pPr>
              <w:keepNext/>
              <w:pBdr>
                <w:top w:val="nil"/>
                <w:left w:val="nil"/>
                <w:bottom w:val="nil"/>
                <w:right w:val="nil"/>
                <w:between w:val="nil"/>
                <w:bar w:val="nil"/>
              </w:pBdr>
              <w:jc w:val="right"/>
              <w:rPr>
                <w:color w:val="000000"/>
              </w:rPr>
            </w:pPr>
            <w:r>
              <w:rPr>
                <w:color w:val="000000"/>
              </w:rPr>
              <w:t>144,025</w:t>
            </w:r>
          </w:p>
        </w:tc>
        <w:tc>
          <w:tcPr>
            <w:tcW w:w="50" w:type="pct"/>
            <w:tcBorders>
              <w:top w:val="nil"/>
              <w:left w:val="nil"/>
              <w:bottom w:val="nil"/>
              <w:right w:val="nil"/>
            </w:tcBorders>
            <w:shd w:val="clear" w:color="auto" w:fill="FFFFFF"/>
            <w:vAlign w:val="bottom"/>
          </w:tcPr>
          <w:p w14:paraId="5D753177"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73F78163"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792BA707"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nil"/>
              <w:right w:val="nil"/>
            </w:tcBorders>
            <w:shd w:val="clear" w:color="auto" w:fill="FFFFFF"/>
            <w:vAlign w:val="bottom"/>
          </w:tcPr>
          <w:p w14:paraId="1AB39F52" w14:textId="77777777" w:rsidR="00553543" w:rsidRDefault="00584985">
            <w:pPr>
              <w:keepNext/>
              <w:pBdr>
                <w:top w:val="nil"/>
                <w:left w:val="nil"/>
                <w:bottom w:val="nil"/>
                <w:right w:val="nil"/>
                <w:between w:val="nil"/>
                <w:bar w:val="nil"/>
              </w:pBdr>
              <w:jc w:val="right"/>
              <w:rPr>
                <w:color w:val="000000"/>
              </w:rPr>
            </w:pPr>
            <w:r>
              <w:rPr>
                <w:color w:val="000000"/>
              </w:rPr>
              <w:t>4,129</w:t>
            </w:r>
          </w:p>
        </w:tc>
        <w:tc>
          <w:tcPr>
            <w:tcW w:w="50" w:type="pct"/>
            <w:tcBorders>
              <w:top w:val="nil"/>
              <w:left w:val="nil"/>
              <w:bottom w:val="nil"/>
              <w:right w:val="nil"/>
            </w:tcBorders>
            <w:shd w:val="clear" w:color="auto" w:fill="FFFFFF"/>
            <w:vAlign w:val="bottom"/>
          </w:tcPr>
          <w:p w14:paraId="77F3D64A"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6070DC5A"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64C2521E"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FFFFFF"/>
            <w:vAlign w:val="bottom"/>
          </w:tcPr>
          <w:p w14:paraId="0DD5388C" w14:textId="77777777" w:rsidR="00553543" w:rsidRDefault="00584985">
            <w:pPr>
              <w:keepNext/>
              <w:pBdr>
                <w:top w:val="nil"/>
                <w:left w:val="nil"/>
                <w:bottom w:val="nil"/>
                <w:right w:val="nil"/>
                <w:between w:val="nil"/>
                <w:bar w:val="nil"/>
              </w:pBdr>
              <w:jc w:val="right"/>
              <w:rPr>
                <w:color w:val="000000"/>
              </w:rPr>
            </w:pPr>
            <w:r>
              <w:rPr>
                <w:color w:val="000000"/>
              </w:rPr>
              <w:t>3</w:t>
            </w:r>
          </w:p>
        </w:tc>
        <w:tc>
          <w:tcPr>
            <w:tcW w:w="124" w:type="pct"/>
            <w:tcBorders>
              <w:top w:val="nil"/>
              <w:left w:val="nil"/>
              <w:bottom w:val="nil"/>
              <w:right w:val="nil"/>
            </w:tcBorders>
            <w:shd w:val="clear" w:color="auto" w:fill="FFFFFF"/>
            <w:vAlign w:val="bottom"/>
          </w:tcPr>
          <w:p w14:paraId="47E6F8B3"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68057FAA" w14:textId="77777777">
        <w:trPr>
          <w:jc w:val="center"/>
        </w:trPr>
        <w:tc>
          <w:tcPr>
            <w:tcW w:w="2027" w:type="pct"/>
            <w:tcBorders>
              <w:top w:val="nil"/>
              <w:left w:val="nil"/>
              <w:bottom w:val="nil"/>
              <w:right w:val="nil"/>
            </w:tcBorders>
            <w:shd w:val="clear" w:color="auto" w:fill="CFF0FC"/>
          </w:tcPr>
          <w:p w14:paraId="5C00BC4C" w14:textId="77777777" w:rsidR="00553543" w:rsidRDefault="00584985">
            <w:pPr>
              <w:keepNext/>
              <w:pBdr>
                <w:top w:val="nil"/>
                <w:left w:val="nil"/>
                <w:bottom w:val="nil"/>
                <w:right w:val="nil"/>
                <w:between w:val="nil"/>
                <w:bar w:val="nil"/>
              </w:pBdr>
              <w:rPr>
                <w:color w:val="000000"/>
              </w:rPr>
            </w:pPr>
            <w:r>
              <w:rPr>
                <w:color w:val="000000"/>
              </w:rPr>
              <w:t>Cost of products</w:t>
            </w:r>
          </w:p>
        </w:tc>
        <w:tc>
          <w:tcPr>
            <w:tcW w:w="61" w:type="pct"/>
            <w:tcBorders>
              <w:top w:val="nil"/>
              <w:left w:val="nil"/>
              <w:bottom w:val="nil"/>
              <w:right w:val="nil"/>
            </w:tcBorders>
            <w:shd w:val="clear" w:color="auto" w:fill="CFF0FC"/>
            <w:vAlign w:val="bottom"/>
          </w:tcPr>
          <w:p w14:paraId="23448661"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16E40EC2"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4616E1F2" w14:textId="77777777" w:rsidR="00553543" w:rsidRDefault="00584985">
            <w:pPr>
              <w:keepNext/>
              <w:pBdr>
                <w:top w:val="nil"/>
                <w:left w:val="nil"/>
                <w:bottom w:val="nil"/>
                <w:right w:val="nil"/>
                <w:between w:val="nil"/>
                <w:bar w:val="nil"/>
              </w:pBdr>
              <w:jc w:val="right"/>
              <w:rPr>
                <w:color w:val="000000"/>
              </w:rPr>
            </w:pPr>
            <w:r>
              <w:rPr>
                <w:color w:val="000000"/>
              </w:rPr>
              <w:t>35,297</w:t>
            </w:r>
          </w:p>
        </w:tc>
        <w:tc>
          <w:tcPr>
            <w:tcW w:w="50" w:type="pct"/>
            <w:tcBorders>
              <w:top w:val="nil"/>
              <w:left w:val="nil"/>
              <w:bottom w:val="nil"/>
              <w:right w:val="nil"/>
            </w:tcBorders>
            <w:shd w:val="clear" w:color="auto" w:fill="CFF0FC"/>
            <w:vAlign w:val="bottom"/>
          </w:tcPr>
          <w:p w14:paraId="76E6E6F7"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13377AB5"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526B37A9"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76433A4A" w14:textId="77777777" w:rsidR="00553543" w:rsidRDefault="00584985">
            <w:pPr>
              <w:keepNext/>
              <w:pBdr>
                <w:top w:val="nil"/>
                <w:left w:val="nil"/>
                <w:bottom w:val="nil"/>
                <w:right w:val="nil"/>
                <w:between w:val="nil"/>
                <w:bar w:val="nil"/>
              </w:pBdr>
              <w:jc w:val="right"/>
              <w:rPr>
                <w:color w:val="000000"/>
              </w:rPr>
            </w:pPr>
            <w:r>
              <w:rPr>
                <w:color w:val="000000"/>
              </w:rPr>
              <w:t>33,530</w:t>
            </w:r>
          </w:p>
        </w:tc>
        <w:tc>
          <w:tcPr>
            <w:tcW w:w="50" w:type="pct"/>
            <w:tcBorders>
              <w:top w:val="nil"/>
              <w:left w:val="nil"/>
              <w:bottom w:val="nil"/>
              <w:right w:val="nil"/>
            </w:tcBorders>
            <w:shd w:val="clear" w:color="auto" w:fill="CFF0FC"/>
            <w:vAlign w:val="bottom"/>
          </w:tcPr>
          <w:p w14:paraId="0C20184E"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46511FB5"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313A4583"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nil"/>
              <w:right w:val="nil"/>
            </w:tcBorders>
            <w:shd w:val="clear" w:color="auto" w:fill="CFF0FC"/>
            <w:vAlign w:val="bottom"/>
          </w:tcPr>
          <w:p w14:paraId="23897581" w14:textId="77777777" w:rsidR="00553543" w:rsidRDefault="00584985">
            <w:pPr>
              <w:keepNext/>
              <w:pBdr>
                <w:top w:val="nil"/>
                <w:left w:val="nil"/>
                <w:bottom w:val="nil"/>
                <w:right w:val="nil"/>
                <w:between w:val="nil"/>
                <w:bar w:val="nil"/>
              </w:pBdr>
              <w:jc w:val="right"/>
              <w:rPr>
                <w:color w:val="000000"/>
              </w:rPr>
            </w:pPr>
            <w:r>
              <w:rPr>
                <w:color w:val="000000"/>
              </w:rPr>
              <w:t>1,767</w:t>
            </w:r>
          </w:p>
        </w:tc>
        <w:tc>
          <w:tcPr>
            <w:tcW w:w="50" w:type="pct"/>
            <w:tcBorders>
              <w:top w:val="nil"/>
              <w:left w:val="nil"/>
              <w:bottom w:val="nil"/>
              <w:right w:val="nil"/>
            </w:tcBorders>
            <w:shd w:val="clear" w:color="auto" w:fill="CFF0FC"/>
            <w:vAlign w:val="bottom"/>
          </w:tcPr>
          <w:p w14:paraId="6B6D9134"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656872B2"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73050BC6"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CFF0FC"/>
            <w:vAlign w:val="bottom"/>
          </w:tcPr>
          <w:p w14:paraId="23A1A776" w14:textId="77777777" w:rsidR="00553543" w:rsidRDefault="00584985">
            <w:pPr>
              <w:keepNext/>
              <w:pBdr>
                <w:top w:val="nil"/>
                <w:left w:val="nil"/>
                <w:bottom w:val="nil"/>
                <w:right w:val="nil"/>
                <w:between w:val="nil"/>
                <w:bar w:val="nil"/>
              </w:pBdr>
              <w:jc w:val="right"/>
              <w:rPr>
                <w:color w:val="000000"/>
              </w:rPr>
            </w:pPr>
            <w:r>
              <w:rPr>
                <w:color w:val="000000"/>
              </w:rPr>
              <w:t>5</w:t>
            </w:r>
          </w:p>
        </w:tc>
        <w:tc>
          <w:tcPr>
            <w:tcW w:w="124" w:type="pct"/>
            <w:tcBorders>
              <w:top w:val="nil"/>
              <w:left w:val="nil"/>
              <w:bottom w:val="nil"/>
              <w:right w:val="nil"/>
            </w:tcBorders>
            <w:shd w:val="clear" w:color="auto" w:fill="CFF0FC"/>
            <w:vAlign w:val="bottom"/>
          </w:tcPr>
          <w:p w14:paraId="0BA22F84"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02F4270D" w14:textId="77777777">
        <w:trPr>
          <w:jc w:val="center"/>
        </w:trPr>
        <w:tc>
          <w:tcPr>
            <w:tcW w:w="2027" w:type="pct"/>
            <w:tcBorders>
              <w:top w:val="nil"/>
              <w:left w:val="nil"/>
              <w:bottom w:val="nil"/>
              <w:right w:val="nil"/>
            </w:tcBorders>
            <w:shd w:val="clear" w:color="auto" w:fill="FFFFFF"/>
          </w:tcPr>
          <w:p w14:paraId="35FF9D1C" w14:textId="77777777" w:rsidR="00553543" w:rsidRDefault="00584985">
            <w:pPr>
              <w:keepNext/>
              <w:pBdr>
                <w:top w:val="nil"/>
                <w:left w:val="nil"/>
                <w:bottom w:val="nil"/>
                <w:right w:val="nil"/>
                <w:between w:val="nil"/>
                <w:bar w:val="nil"/>
              </w:pBdr>
              <w:rPr>
                <w:color w:val="000000"/>
              </w:rPr>
            </w:pPr>
            <w:r>
              <w:rPr>
                <w:color w:val="000000"/>
              </w:rPr>
              <w:t>Administrative</w:t>
            </w:r>
          </w:p>
        </w:tc>
        <w:tc>
          <w:tcPr>
            <w:tcW w:w="61" w:type="pct"/>
            <w:tcBorders>
              <w:top w:val="nil"/>
              <w:left w:val="nil"/>
              <w:bottom w:val="nil"/>
              <w:right w:val="nil"/>
            </w:tcBorders>
            <w:shd w:val="clear" w:color="auto" w:fill="FFFFFF"/>
            <w:vAlign w:val="bottom"/>
          </w:tcPr>
          <w:p w14:paraId="2A3B1AC8"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387F3BCE"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04261CD0" w14:textId="77777777" w:rsidR="00553543" w:rsidRDefault="00584985">
            <w:pPr>
              <w:keepNext/>
              <w:pBdr>
                <w:top w:val="nil"/>
                <w:left w:val="nil"/>
                <w:bottom w:val="nil"/>
                <w:right w:val="nil"/>
                <w:between w:val="nil"/>
                <w:bar w:val="nil"/>
              </w:pBdr>
              <w:jc w:val="right"/>
              <w:rPr>
                <w:color w:val="000000"/>
              </w:rPr>
            </w:pPr>
            <w:r>
              <w:rPr>
                <w:color w:val="000000"/>
              </w:rPr>
              <w:t>4,213</w:t>
            </w:r>
          </w:p>
        </w:tc>
        <w:tc>
          <w:tcPr>
            <w:tcW w:w="50" w:type="pct"/>
            <w:tcBorders>
              <w:top w:val="nil"/>
              <w:left w:val="nil"/>
              <w:bottom w:val="nil"/>
              <w:right w:val="nil"/>
            </w:tcBorders>
            <w:shd w:val="clear" w:color="auto" w:fill="FFFFFF"/>
            <w:vAlign w:val="bottom"/>
          </w:tcPr>
          <w:p w14:paraId="452C1C46"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4845728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2B48BC94"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2077516F" w14:textId="77777777" w:rsidR="00553543" w:rsidRDefault="00584985">
            <w:pPr>
              <w:keepNext/>
              <w:pBdr>
                <w:top w:val="nil"/>
                <w:left w:val="nil"/>
                <w:bottom w:val="nil"/>
                <w:right w:val="nil"/>
                <w:between w:val="nil"/>
                <w:bar w:val="nil"/>
              </w:pBdr>
              <w:jc w:val="right"/>
              <w:rPr>
                <w:color w:val="000000"/>
              </w:rPr>
            </w:pPr>
            <w:r>
              <w:rPr>
                <w:color w:val="000000"/>
              </w:rPr>
              <w:t>4,057</w:t>
            </w:r>
          </w:p>
        </w:tc>
        <w:tc>
          <w:tcPr>
            <w:tcW w:w="50" w:type="pct"/>
            <w:tcBorders>
              <w:top w:val="nil"/>
              <w:left w:val="nil"/>
              <w:bottom w:val="nil"/>
              <w:right w:val="nil"/>
            </w:tcBorders>
            <w:shd w:val="clear" w:color="auto" w:fill="FFFFFF"/>
            <w:vAlign w:val="bottom"/>
          </w:tcPr>
          <w:p w14:paraId="1C7BD6BC"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55E9A1B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7EEEDFBE"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nil"/>
              <w:right w:val="nil"/>
            </w:tcBorders>
            <w:shd w:val="clear" w:color="auto" w:fill="FFFFFF"/>
            <w:vAlign w:val="bottom"/>
          </w:tcPr>
          <w:p w14:paraId="2D0A878B" w14:textId="77777777" w:rsidR="00553543" w:rsidRDefault="00584985">
            <w:pPr>
              <w:keepNext/>
              <w:pBdr>
                <w:top w:val="nil"/>
                <w:left w:val="nil"/>
                <w:bottom w:val="nil"/>
                <w:right w:val="nil"/>
                <w:between w:val="nil"/>
                <w:bar w:val="nil"/>
              </w:pBdr>
              <w:jc w:val="right"/>
              <w:rPr>
                <w:color w:val="000000"/>
              </w:rPr>
            </w:pPr>
            <w:r>
              <w:rPr>
                <w:color w:val="000000"/>
              </w:rPr>
              <w:t>156</w:t>
            </w:r>
          </w:p>
        </w:tc>
        <w:tc>
          <w:tcPr>
            <w:tcW w:w="50" w:type="pct"/>
            <w:tcBorders>
              <w:top w:val="nil"/>
              <w:left w:val="nil"/>
              <w:bottom w:val="nil"/>
              <w:right w:val="nil"/>
            </w:tcBorders>
            <w:shd w:val="clear" w:color="auto" w:fill="FFFFFF"/>
            <w:vAlign w:val="bottom"/>
          </w:tcPr>
          <w:p w14:paraId="07FE9B5E"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4D9B1DA5"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52CD1B22"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FFFFFF"/>
            <w:vAlign w:val="bottom"/>
          </w:tcPr>
          <w:p w14:paraId="2196B92D" w14:textId="77777777" w:rsidR="00553543" w:rsidRDefault="00584985">
            <w:pPr>
              <w:keepNext/>
              <w:pBdr>
                <w:top w:val="nil"/>
                <w:left w:val="nil"/>
                <w:bottom w:val="nil"/>
                <w:right w:val="nil"/>
                <w:between w:val="nil"/>
                <w:bar w:val="nil"/>
              </w:pBdr>
              <w:jc w:val="right"/>
              <w:rPr>
                <w:color w:val="000000"/>
              </w:rPr>
            </w:pPr>
            <w:r>
              <w:rPr>
                <w:color w:val="000000"/>
              </w:rPr>
              <w:t>4</w:t>
            </w:r>
          </w:p>
        </w:tc>
        <w:tc>
          <w:tcPr>
            <w:tcW w:w="124" w:type="pct"/>
            <w:tcBorders>
              <w:top w:val="nil"/>
              <w:left w:val="nil"/>
              <w:bottom w:val="nil"/>
              <w:right w:val="nil"/>
            </w:tcBorders>
            <w:shd w:val="clear" w:color="auto" w:fill="FFFFFF"/>
            <w:vAlign w:val="bottom"/>
          </w:tcPr>
          <w:p w14:paraId="2E4AB450"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5710C83A" w14:textId="77777777">
        <w:trPr>
          <w:jc w:val="center"/>
        </w:trPr>
        <w:tc>
          <w:tcPr>
            <w:tcW w:w="2027" w:type="pct"/>
            <w:tcBorders>
              <w:top w:val="nil"/>
              <w:left w:val="nil"/>
              <w:bottom w:val="nil"/>
              <w:right w:val="nil"/>
            </w:tcBorders>
            <w:shd w:val="clear" w:color="auto" w:fill="CFF0FC"/>
          </w:tcPr>
          <w:p w14:paraId="6B8AC3DC" w14:textId="77777777" w:rsidR="00553543" w:rsidRDefault="00584985">
            <w:pPr>
              <w:keepNext/>
              <w:pBdr>
                <w:top w:val="nil"/>
                <w:left w:val="nil"/>
                <w:bottom w:val="nil"/>
                <w:right w:val="nil"/>
                <w:between w:val="nil"/>
                <w:bar w:val="nil"/>
              </w:pBdr>
              <w:rPr>
                <w:color w:val="000000"/>
              </w:rPr>
            </w:pPr>
            <w:r>
              <w:rPr>
                <w:color w:val="000000"/>
              </w:rPr>
              <w:t>Salaries, benefits and payroll taxes</w:t>
            </w:r>
          </w:p>
        </w:tc>
        <w:tc>
          <w:tcPr>
            <w:tcW w:w="61" w:type="pct"/>
            <w:tcBorders>
              <w:top w:val="nil"/>
              <w:left w:val="nil"/>
              <w:bottom w:val="nil"/>
              <w:right w:val="nil"/>
            </w:tcBorders>
            <w:shd w:val="clear" w:color="auto" w:fill="CFF0FC"/>
            <w:vAlign w:val="bottom"/>
          </w:tcPr>
          <w:p w14:paraId="4588BA39"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295CEB75"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6CC1BDAB" w14:textId="77777777" w:rsidR="00553543" w:rsidRDefault="00584985">
            <w:pPr>
              <w:keepNext/>
              <w:pBdr>
                <w:top w:val="nil"/>
                <w:left w:val="nil"/>
                <w:bottom w:val="nil"/>
                <w:right w:val="nil"/>
                <w:between w:val="nil"/>
                <w:bar w:val="nil"/>
              </w:pBdr>
              <w:jc w:val="right"/>
              <w:rPr>
                <w:color w:val="000000"/>
              </w:rPr>
            </w:pPr>
            <w:r>
              <w:rPr>
                <w:color w:val="000000"/>
              </w:rPr>
              <w:t>10,995</w:t>
            </w:r>
          </w:p>
        </w:tc>
        <w:tc>
          <w:tcPr>
            <w:tcW w:w="50" w:type="pct"/>
            <w:tcBorders>
              <w:top w:val="nil"/>
              <w:left w:val="nil"/>
              <w:bottom w:val="nil"/>
              <w:right w:val="nil"/>
            </w:tcBorders>
            <w:shd w:val="clear" w:color="auto" w:fill="CFF0FC"/>
            <w:vAlign w:val="bottom"/>
          </w:tcPr>
          <w:p w14:paraId="5F9644FA"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22E10E67"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2EF24841"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1FCAC05B" w14:textId="77777777" w:rsidR="00553543" w:rsidRDefault="00584985">
            <w:pPr>
              <w:keepNext/>
              <w:pBdr>
                <w:top w:val="nil"/>
                <w:left w:val="nil"/>
                <w:bottom w:val="nil"/>
                <w:right w:val="nil"/>
                <w:between w:val="nil"/>
                <w:bar w:val="nil"/>
              </w:pBdr>
              <w:jc w:val="right"/>
              <w:rPr>
                <w:color w:val="000000"/>
              </w:rPr>
            </w:pPr>
            <w:r>
              <w:rPr>
                <w:color w:val="000000"/>
              </w:rPr>
              <w:t>8,493</w:t>
            </w:r>
          </w:p>
        </w:tc>
        <w:tc>
          <w:tcPr>
            <w:tcW w:w="50" w:type="pct"/>
            <w:tcBorders>
              <w:top w:val="nil"/>
              <w:left w:val="nil"/>
              <w:bottom w:val="nil"/>
              <w:right w:val="nil"/>
            </w:tcBorders>
            <w:shd w:val="clear" w:color="auto" w:fill="CFF0FC"/>
            <w:vAlign w:val="bottom"/>
          </w:tcPr>
          <w:p w14:paraId="40421543"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423679A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3EE55B4D"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nil"/>
              <w:right w:val="nil"/>
            </w:tcBorders>
            <w:shd w:val="clear" w:color="auto" w:fill="CFF0FC"/>
            <w:vAlign w:val="bottom"/>
          </w:tcPr>
          <w:p w14:paraId="7FEC60D3" w14:textId="77777777" w:rsidR="00553543" w:rsidRDefault="00584985">
            <w:pPr>
              <w:keepNext/>
              <w:pBdr>
                <w:top w:val="nil"/>
                <w:left w:val="nil"/>
                <w:bottom w:val="nil"/>
                <w:right w:val="nil"/>
                <w:between w:val="nil"/>
                <w:bar w:val="nil"/>
              </w:pBdr>
              <w:jc w:val="right"/>
              <w:rPr>
                <w:color w:val="000000"/>
              </w:rPr>
            </w:pPr>
            <w:r>
              <w:rPr>
                <w:color w:val="000000"/>
              </w:rPr>
              <w:t>2,502</w:t>
            </w:r>
          </w:p>
        </w:tc>
        <w:tc>
          <w:tcPr>
            <w:tcW w:w="50" w:type="pct"/>
            <w:tcBorders>
              <w:top w:val="nil"/>
              <w:left w:val="nil"/>
              <w:bottom w:val="nil"/>
              <w:right w:val="nil"/>
            </w:tcBorders>
            <w:shd w:val="clear" w:color="auto" w:fill="CFF0FC"/>
            <w:vAlign w:val="bottom"/>
          </w:tcPr>
          <w:p w14:paraId="2A4B8646"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2E6AFC94"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596888BD"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CFF0FC"/>
            <w:vAlign w:val="bottom"/>
          </w:tcPr>
          <w:p w14:paraId="1A52A5BC" w14:textId="77777777" w:rsidR="00553543" w:rsidRDefault="00584985">
            <w:pPr>
              <w:keepNext/>
              <w:pBdr>
                <w:top w:val="nil"/>
                <w:left w:val="nil"/>
                <w:bottom w:val="nil"/>
                <w:right w:val="nil"/>
                <w:between w:val="nil"/>
                <w:bar w:val="nil"/>
              </w:pBdr>
              <w:jc w:val="right"/>
              <w:rPr>
                <w:color w:val="000000"/>
              </w:rPr>
            </w:pPr>
            <w:r>
              <w:rPr>
                <w:color w:val="000000"/>
              </w:rPr>
              <w:t>29</w:t>
            </w:r>
          </w:p>
        </w:tc>
        <w:tc>
          <w:tcPr>
            <w:tcW w:w="124" w:type="pct"/>
            <w:tcBorders>
              <w:top w:val="nil"/>
              <w:left w:val="nil"/>
              <w:bottom w:val="nil"/>
              <w:right w:val="nil"/>
            </w:tcBorders>
            <w:shd w:val="clear" w:color="auto" w:fill="CFF0FC"/>
            <w:vAlign w:val="bottom"/>
          </w:tcPr>
          <w:p w14:paraId="6FACE66D"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42011221" w14:textId="77777777">
        <w:trPr>
          <w:jc w:val="center"/>
        </w:trPr>
        <w:tc>
          <w:tcPr>
            <w:tcW w:w="2027" w:type="pct"/>
            <w:tcBorders>
              <w:top w:val="nil"/>
              <w:left w:val="nil"/>
              <w:bottom w:val="nil"/>
              <w:right w:val="nil"/>
            </w:tcBorders>
            <w:shd w:val="clear" w:color="auto" w:fill="FFFFFF"/>
          </w:tcPr>
          <w:p w14:paraId="39DE30D0" w14:textId="77777777" w:rsidR="00553543" w:rsidRDefault="00584985">
            <w:pPr>
              <w:keepNext/>
              <w:pBdr>
                <w:top w:val="nil"/>
                <w:left w:val="nil"/>
                <w:bottom w:val="nil"/>
                <w:right w:val="nil"/>
                <w:between w:val="nil"/>
                <w:bar w:val="nil"/>
              </w:pBdr>
              <w:rPr>
                <w:color w:val="000000"/>
              </w:rPr>
            </w:pPr>
            <w:r>
              <w:rPr>
                <w:color w:val="000000"/>
              </w:rPr>
              <w:t>Amortization of intangible assets</w:t>
            </w:r>
          </w:p>
        </w:tc>
        <w:tc>
          <w:tcPr>
            <w:tcW w:w="61" w:type="pct"/>
            <w:tcBorders>
              <w:top w:val="nil"/>
              <w:left w:val="nil"/>
              <w:bottom w:val="nil"/>
              <w:right w:val="nil"/>
            </w:tcBorders>
            <w:shd w:val="clear" w:color="auto" w:fill="FFFFFF"/>
            <w:vAlign w:val="bottom"/>
          </w:tcPr>
          <w:p w14:paraId="1C0369F1"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4A03F5E0"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FFFFFF"/>
            <w:vAlign w:val="bottom"/>
          </w:tcPr>
          <w:p w14:paraId="14FC7C7A" w14:textId="77777777" w:rsidR="00553543" w:rsidRDefault="00584985">
            <w:pPr>
              <w:keepNext/>
              <w:pBdr>
                <w:top w:val="nil"/>
                <w:left w:val="nil"/>
                <w:bottom w:val="nil"/>
                <w:right w:val="nil"/>
                <w:between w:val="nil"/>
                <w:bar w:val="nil"/>
              </w:pBdr>
              <w:jc w:val="right"/>
              <w:rPr>
                <w:color w:val="000000"/>
              </w:rPr>
            </w:pPr>
            <w:r>
              <w:rPr>
                <w:color w:val="000000"/>
              </w:rPr>
              <w:t>4,134</w:t>
            </w:r>
          </w:p>
        </w:tc>
        <w:tc>
          <w:tcPr>
            <w:tcW w:w="50" w:type="pct"/>
            <w:tcBorders>
              <w:top w:val="nil"/>
              <w:left w:val="nil"/>
              <w:bottom w:val="nil"/>
              <w:right w:val="nil"/>
            </w:tcBorders>
            <w:shd w:val="clear" w:color="auto" w:fill="FFFFFF"/>
            <w:vAlign w:val="bottom"/>
          </w:tcPr>
          <w:p w14:paraId="35400F97"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75A2E15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04AB4CAE"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FFFFFF"/>
            <w:vAlign w:val="bottom"/>
          </w:tcPr>
          <w:p w14:paraId="3AA957BF" w14:textId="77777777" w:rsidR="00553543" w:rsidRDefault="00584985">
            <w:pPr>
              <w:keepNext/>
              <w:pBdr>
                <w:top w:val="nil"/>
                <w:left w:val="nil"/>
                <w:bottom w:val="nil"/>
                <w:right w:val="nil"/>
                <w:between w:val="nil"/>
                <w:bar w:val="nil"/>
              </w:pBdr>
              <w:jc w:val="right"/>
              <w:rPr>
                <w:color w:val="000000"/>
              </w:rPr>
            </w:pPr>
            <w:r>
              <w:rPr>
                <w:color w:val="000000"/>
              </w:rPr>
              <w:t>4,144</w:t>
            </w:r>
          </w:p>
        </w:tc>
        <w:tc>
          <w:tcPr>
            <w:tcW w:w="50" w:type="pct"/>
            <w:tcBorders>
              <w:top w:val="nil"/>
              <w:left w:val="nil"/>
              <w:bottom w:val="nil"/>
              <w:right w:val="nil"/>
            </w:tcBorders>
            <w:shd w:val="clear" w:color="auto" w:fill="FFFFFF"/>
            <w:vAlign w:val="bottom"/>
          </w:tcPr>
          <w:p w14:paraId="0D981E7F"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1FD69507"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061FEB70"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single" w:sz="4" w:space="0" w:color="000000"/>
              <w:right w:val="nil"/>
            </w:tcBorders>
            <w:shd w:val="clear" w:color="auto" w:fill="FFFFFF"/>
            <w:vAlign w:val="bottom"/>
          </w:tcPr>
          <w:p w14:paraId="1197DC84" w14:textId="77777777" w:rsidR="00553543" w:rsidRDefault="00584985">
            <w:pPr>
              <w:keepNext/>
              <w:pBdr>
                <w:top w:val="nil"/>
                <w:left w:val="nil"/>
                <w:bottom w:val="nil"/>
                <w:right w:val="nil"/>
                <w:between w:val="nil"/>
                <w:bar w:val="nil"/>
              </w:pBdr>
              <w:jc w:val="right"/>
              <w:rPr>
                <w:color w:val="000000"/>
              </w:rPr>
            </w:pPr>
            <w:r>
              <w:rPr>
                <w:color w:val="000000"/>
              </w:rPr>
              <w:t>(10</w:t>
            </w:r>
          </w:p>
        </w:tc>
        <w:tc>
          <w:tcPr>
            <w:tcW w:w="50" w:type="pct"/>
            <w:tcBorders>
              <w:top w:val="nil"/>
              <w:left w:val="nil"/>
              <w:bottom w:val="nil"/>
              <w:right w:val="nil"/>
            </w:tcBorders>
            <w:shd w:val="clear" w:color="auto" w:fill="FFFFFF"/>
            <w:vAlign w:val="bottom"/>
          </w:tcPr>
          <w:p w14:paraId="09F3699B"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FFFFFF"/>
            <w:vAlign w:val="bottom"/>
          </w:tcPr>
          <w:p w14:paraId="5A2714E2"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single" w:sz="4" w:space="0" w:color="000000"/>
              <w:right w:val="nil"/>
            </w:tcBorders>
            <w:shd w:val="clear" w:color="auto" w:fill="FFFFFF"/>
            <w:vAlign w:val="bottom"/>
          </w:tcPr>
          <w:p w14:paraId="2858F712"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single" w:sz="4" w:space="0" w:color="000000"/>
              <w:right w:val="nil"/>
            </w:tcBorders>
            <w:shd w:val="clear" w:color="auto" w:fill="FFFFFF"/>
            <w:vAlign w:val="bottom"/>
          </w:tcPr>
          <w:p w14:paraId="780B46A0" w14:textId="77777777" w:rsidR="00553543" w:rsidRDefault="00584985">
            <w:pPr>
              <w:keepNext/>
              <w:pBdr>
                <w:top w:val="nil"/>
                <w:left w:val="nil"/>
                <w:bottom w:val="nil"/>
                <w:right w:val="nil"/>
                <w:between w:val="nil"/>
                <w:bar w:val="nil"/>
              </w:pBdr>
              <w:jc w:val="right"/>
              <w:rPr>
                <w:color w:val="000000"/>
              </w:rPr>
            </w:pPr>
            <w:r>
              <w:rPr>
                <w:color w:val="000000"/>
              </w:rPr>
              <w:t>(0</w:t>
            </w:r>
          </w:p>
        </w:tc>
        <w:tc>
          <w:tcPr>
            <w:tcW w:w="124" w:type="pct"/>
            <w:tcBorders>
              <w:top w:val="nil"/>
              <w:left w:val="nil"/>
              <w:bottom w:val="nil"/>
              <w:right w:val="nil"/>
            </w:tcBorders>
            <w:shd w:val="clear" w:color="auto" w:fill="FFFFFF"/>
            <w:vAlign w:val="bottom"/>
          </w:tcPr>
          <w:p w14:paraId="63A16734"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786DEF89" w14:textId="77777777">
        <w:trPr>
          <w:jc w:val="center"/>
        </w:trPr>
        <w:tc>
          <w:tcPr>
            <w:tcW w:w="2027" w:type="pct"/>
            <w:tcBorders>
              <w:top w:val="nil"/>
              <w:left w:val="nil"/>
              <w:bottom w:val="nil"/>
              <w:right w:val="nil"/>
            </w:tcBorders>
            <w:shd w:val="clear" w:color="auto" w:fill="CFF0FC"/>
          </w:tcPr>
          <w:p w14:paraId="3E214678" w14:textId="77777777" w:rsidR="00553543" w:rsidRDefault="00584985">
            <w:pPr>
              <w:keepNext/>
              <w:pBdr>
                <w:top w:val="nil"/>
                <w:left w:val="nil"/>
                <w:bottom w:val="nil"/>
                <w:right w:val="nil"/>
                <w:between w:val="nil"/>
                <w:bar w:val="nil"/>
              </w:pBdr>
              <w:ind w:left="200"/>
              <w:rPr>
                <w:color w:val="000000"/>
              </w:rPr>
            </w:pPr>
            <w:r>
              <w:rPr>
                <w:color w:val="000000"/>
              </w:rPr>
              <w:t>Total cost of revenues and</w:t>
            </w:r>
            <w:r>
              <w:rPr>
                <w:color w:val="000000"/>
              </w:rPr>
              <w:br/>
              <w:t xml:space="preserve">   operating expenses</w:t>
            </w:r>
          </w:p>
        </w:tc>
        <w:tc>
          <w:tcPr>
            <w:tcW w:w="61" w:type="pct"/>
            <w:tcBorders>
              <w:top w:val="nil"/>
              <w:left w:val="nil"/>
              <w:bottom w:val="nil"/>
              <w:right w:val="nil"/>
            </w:tcBorders>
            <w:shd w:val="clear" w:color="auto" w:fill="CFF0FC"/>
            <w:vAlign w:val="bottom"/>
          </w:tcPr>
          <w:p w14:paraId="1D993234"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CFF0FC"/>
            <w:vAlign w:val="bottom"/>
          </w:tcPr>
          <w:p w14:paraId="1927A8BE"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CFF0FC"/>
            <w:vAlign w:val="bottom"/>
          </w:tcPr>
          <w:p w14:paraId="21814F2D" w14:textId="77777777" w:rsidR="00553543" w:rsidRDefault="00584985">
            <w:pPr>
              <w:keepNext/>
              <w:pBdr>
                <w:top w:val="nil"/>
                <w:left w:val="nil"/>
                <w:bottom w:val="nil"/>
                <w:right w:val="nil"/>
                <w:between w:val="nil"/>
                <w:bar w:val="nil"/>
              </w:pBdr>
              <w:jc w:val="right"/>
              <w:rPr>
                <w:color w:val="000000"/>
              </w:rPr>
            </w:pPr>
            <w:r>
              <w:rPr>
                <w:color w:val="000000"/>
              </w:rPr>
              <w:t>202,793</w:t>
            </w:r>
          </w:p>
        </w:tc>
        <w:tc>
          <w:tcPr>
            <w:tcW w:w="50" w:type="pct"/>
            <w:tcBorders>
              <w:top w:val="nil"/>
              <w:left w:val="nil"/>
              <w:bottom w:val="nil"/>
              <w:right w:val="nil"/>
            </w:tcBorders>
            <w:shd w:val="clear" w:color="auto" w:fill="CFF0FC"/>
            <w:vAlign w:val="bottom"/>
          </w:tcPr>
          <w:p w14:paraId="78C73621"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0D748674"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CFF0FC"/>
            <w:vAlign w:val="bottom"/>
          </w:tcPr>
          <w:p w14:paraId="4A56CA5C"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CFF0FC"/>
            <w:vAlign w:val="bottom"/>
          </w:tcPr>
          <w:p w14:paraId="7E9E0A6D" w14:textId="77777777" w:rsidR="00553543" w:rsidRDefault="00584985">
            <w:pPr>
              <w:keepNext/>
              <w:pBdr>
                <w:top w:val="nil"/>
                <w:left w:val="nil"/>
                <w:bottom w:val="nil"/>
                <w:right w:val="nil"/>
                <w:between w:val="nil"/>
                <w:bar w:val="nil"/>
              </w:pBdr>
              <w:jc w:val="right"/>
              <w:rPr>
                <w:color w:val="000000"/>
              </w:rPr>
            </w:pPr>
            <w:r>
              <w:rPr>
                <w:color w:val="000000"/>
              </w:rPr>
              <w:t>194,249</w:t>
            </w:r>
          </w:p>
        </w:tc>
        <w:tc>
          <w:tcPr>
            <w:tcW w:w="50" w:type="pct"/>
            <w:tcBorders>
              <w:top w:val="nil"/>
              <w:left w:val="nil"/>
              <w:bottom w:val="nil"/>
              <w:right w:val="nil"/>
            </w:tcBorders>
            <w:shd w:val="clear" w:color="auto" w:fill="CFF0FC"/>
            <w:vAlign w:val="bottom"/>
          </w:tcPr>
          <w:p w14:paraId="10030417"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5EC0B002"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CFF0FC"/>
            <w:vAlign w:val="bottom"/>
          </w:tcPr>
          <w:p w14:paraId="212D2BC6" w14:textId="77777777" w:rsidR="00553543" w:rsidRDefault="00553543">
            <w:pPr>
              <w:keepNext/>
              <w:pBdr>
                <w:top w:val="nil"/>
                <w:left w:val="nil"/>
                <w:bottom w:val="nil"/>
                <w:right w:val="nil"/>
                <w:between w:val="nil"/>
                <w:bar w:val="nil"/>
              </w:pBdr>
              <w:rPr>
                <w:color w:val="000000"/>
              </w:rPr>
            </w:pPr>
          </w:p>
        </w:tc>
        <w:tc>
          <w:tcPr>
            <w:tcW w:w="562" w:type="pct"/>
            <w:tcBorders>
              <w:top w:val="single" w:sz="4" w:space="0" w:color="000000"/>
              <w:left w:val="nil"/>
              <w:bottom w:val="single" w:sz="4" w:space="0" w:color="000000"/>
              <w:right w:val="nil"/>
            </w:tcBorders>
            <w:shd w:val="clear" w:color="auto" w:fill="CFF0FC"/>
            <w:vAlign w:val="bottom"/>
          </w:tcPr>
          <w:p w14:paraId="5CF505BF" w14:textId="77777777" w:rsidR="00553543" w:rsidRDefault="00584985">
            <w:pPr>
              <w:keepNext/>
              <w:pBdr>
                <w:top w:val="nil"/>
                <w:left w:val="nil"/>
                <w:bottom w:val="nil"/>
                <w:right w:val="nil"/>
                <w:between w:val="nil"/>
                <w:bar w:val="nil"/>
              </w:pBdr>
              <w:jc w:val="right"/>
              <w:rPr>
                <w:color w:val="000000"/>
              </w:rPr>
            </w:pPr>
            <w:r>
              <w:rPr>
                <w:color w:val="000000"/>
              </w:rPr>
              <w:t>8,544</w:t>
            </w:r>
          </w:p>
        </w:tc>
        <w:tc>
          <w:tcPr>
            <w:tcW w:w="50" w:type="pct"/>
            <w:tcBorders>
              <w:top w:val="nil"/>
              <w:left w:val="nil"/>
              <w:bottom w:val="nil"/>
              <w:right w:val="nil"/>
            </w:tcBorders>
            <w:shd w:val="clear" w:color="auto" w:fill="CFF0FC"/>
            <w:vAlign w:val="bottom"/>
          </w:tcPr>
          <w:p w14:paraId="3EEA60C8"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vAlign w:val="bottom"/>
          </w:tcPr>
          <w:p w14:paraId="408F9DD1"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single" w:sz="4" w:space="0" w:color="000000"/>
              <w:right w:val="nil"/>
            </w:tcBorders>
            <w:shd w:val="clear" w:color="auto" w:fill="CFF0FC"/>
            <w:vAlign w:val="bottom"/>
          </w:tcPr>
          <w:p w14:paraId="60A62780"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single" w:sz="4" w:space="0" w:color="000000"/>
              <w:right w:val="nil"/>
            </w:tcBorders>
            <w:shd w:val="clear" w:color="auto" w:fill="CFF0FC"/>
            <w:vAlign w:val="bottom"/>
          </w:tcPr>
          <w:p w14:paraId="61464BC4" w14:textId="77777777" w:rsidR="00553543" w:rsidRDefault="00584985">
            <w:pPr>
              <w:keepNext/>
              <w:pBdr>
                <w:top w:val="nil"/>
                <w:left w:val="nil"/>
                <w:bottom w:val="nil"/>
                <w:right w:val="nil"/>
                <w:between w:val="nil"/>
                <w:bar w:val="nil"/>
              </w:pBdr>
              <w:jc w:val="right"/>
              <w:rPr>
                <w:color w:val="000000"/>
              </w:rPr>
            </w:pPr>
            <w:r>
              <w:rPr>
                <w:color w:val="000000"/>
              </w:rPr>
              <w:t>4</w:t>
            </w:r>
          </w:p>
        </w:tc>
        <w:tc>
          <w:tcPr>
            <w:tcW w:w="124" w:type="pct"/>
            <w:tcBorders>
              <w:top w:val="nil"/>
              <w:left w:val="nil"/>
              <w:bottom w:val="nil"/>
              <w:right w:val="nil"/>
            </w:tcBorders>
            <w:shd w:val="clear" w:color="auto" w:fill="CFF0FC"/>
            <w:vAlign w:val="bottom"/>
          </w:tcPr>
          <w:p w14:paraId="60D5781E"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2B954E72" w14:textId="77777777">
        <w:trPr>
          <w:jc w:val="center"/>
        </w:trPr>
        <w:tc>
          <w:tcPr>
            <w:tcW w:w="2027" w:type="pct"/>
            <w:tcBorders>
              <w:top w:val="nil"/>
              <w:left w:val="nil"/>
              <w:bottom w:val="nil"/>
              <w:right w:val="nil"/>
            </w:tcBorders>
            <w:shd w:val="clear" w:color="auto" w:fill="FFFFFF"/>
          </w:tcPr>
          <w:p w14:paraId="2C8B5667" w14:textId="77777777" w:rsidR="00553543" w:rsidRDefault="00584985">
            <w:pPr>
              <w:keepNext/>
              <w:pBdr>
                <w:top w:val="nil"/>
                <w:left w:val="nil"/>
                <w:bottom w:val="nil"/>
                <w:right w:val="nil"/>
                <w:between w:val="nil"/>
                <w:bar w:val="nil"/>
              </w:pBdr>
              <w:ind w:left="200"/>
              <w:rPr>
                <w:color w:val="000000"/>
              </w:rPr>
            </w:pPr>
            <w:r>
              <w:rPr>
                <w:color w:val="000000"/>
              </w:rPr>
              <w:t>Income from operations</w:t>
            </w:r>
          </w:p>
        </w:tc>
        <w:tc>
          <w:tcPr>
            <w:tcW w:w="61" w:type="pct"/>
            <w:tcBorders>
              <w:top w:val="nil"/>
              <w:left w:val="nil"/>
              <w:bottom w:val="nil"/>
              <w:right w:val="nil"/>
            </w:tcBorders>
            <w:shd w:val="clear" w:color="auto" w:fill="FFFFFF"/>
            <w:vAlign w:val="bottom"/>
          </w:tcPr>
          <w:p w14:paraId="787E7C2A"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276E53CA"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4E914206" w14:textId="77777777" w:rsidR="00553543" w:rsidRDefault="00584985">
            <w:pPr>
              <w:keepNext/>
              <w:pBdr>
                <w:top w:val="nil"/>
                <w:left w:val="nil"/>
                <w:bottom w:val="nil"/>
                <w:right w:val="nil"/>
                <w:between w:val="nil"/>
                <w:bar w:val="nil"/>
              </w:pBdr>
              <w:jc w:val="right"/>
              <w:rPr>
                <w:color w:val="000000"/>
              </w:rPr>
            </w:pPr>
            <w:r>
              <w:rPr>
                <w:color w:val="000000"/>
              </w:rPr>
              <w:t>16,837</w:t>
            </w:r>
          </w:p>
        </w:tc>
        <w:tc>
          <w:tcPr>
            <w:tcW w:w="50" w:type="pct"/>
            <w:tcBorders>
              <w:top w:val="nil"/>
              <w:left w:val="nil"/>
              <w:bottom w:val="nil"/>
              <w:right w:val="nil"/>
            </w:tcBorders>
            <w:shd w:val="clear" w:color="auto" w:fill="FFFFFF"/>
            <w:vAlign w:val="bottom"/>
          </w:tcPr>
          <w:p w14:paraId="359ED19F"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28DC9AC1"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3229975C"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00A07593" w14:textId="77777777" w:rsidR="00553543" w:rsidRDefault="00584985">
            <w:pPr>
              <w:keepNext/>
              <w:pBdr>
                <w:top w:val="nil"/>
                <w:left w:val="nil"/>
                <w:bottom w:val="nil"/>
                <w:right w:val="nil"/>
                <w:between w:val="nil"/>
                <w:bar w:val="nil"/>
              </w:pBdr>
              <w:jc w:val="right"/>
              <w:rPr>
                <w:color w:val="000000"/>
              </w:rPr>
            </w:pPr>
            <w:r>
              <w:rPr>
                <w:color w:val="000000"/>
              </w:rPr>
              <w:t>16,977</w:t>
            </w:r>
          </w:p>
        </w:tc>
        <w:tc>
          <w:tcPr>
            <w:tcW w:w="50" w:type="pct"/>
            <w:tcBorders>
              <w:top w:val="nil"/>
              <w:left w:val="nil"/>
              <w:bottom w:val="nil"/>
              <w:right w:val="nil"/>
            </w:tcBorders>
            <w:shd w:val="clear" w:color="auto" w:fill="FFFFFF"/>
            <w:vAlign w:val="bottom"/>
          </w:tcPr>
          <w:p w14:paraId="26CB3104"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5C242B2A"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7298BEE3" w14:textId="77777777" w:rsidR="00553543" w:rsidRDefault="00553543">
            <w:pPr>
              <w:keepNext/>
              <w:pBdr>
                <w:top w:val="nil"/>
                <w:left w:val="nil"/>
                <w:bottom w:val="nil"/>
                <w:right w:val="nil"/>
                <w:between w:val="nil"/>
                <w:bar w:val="nil"/>
              </w:pBdr>
              <w:rPr>
                <w:color w:val="000000"/>
              </w:rPr>
            </w:pPr>
          </w:p>
        </w:tc>
        <w:tc>
          <w:tcPr>
            <w:tcW w:w="562" w:type="pct"/>
            <w:tcBorders>
              <w:top w:val="single" w:sz="4" w:space="0" w:color="000000"/>
              <w:left w:val="nil"/>
              <w:bottom w:val="single" w:sz="4" w:space="0" w:color="000000"/>
              <w:right w:val="nil"/>
            </w:tcBorders>
            <w:shd w:val="clear" w:color="auto" w:fill="FFFFFF"/>
            <w:vAlign w:val="bottom"/>
          </w:tcPr>
          <w:p w14:paraId="68DFFDB4" w14:textId="77777777" w:rsidR="00553543" w:rsidRDefault="00584985">
            <w:pPr>
              <w:keepNext/>
              <w:pBdr>
                <w:top w:val="nil"/>
                <w:left w:val="nil"/>
                <w:bottom w:val="nil"/>
                <w:right w:val="nil"/>
                <w:between w:val="nil"/>
                <w:bar w:val="nil"/>
              </w:pBdr>
              <w:jc w:val="right"/>
              <w:rPr>
                <w:color w:val="000000"/>
              </w:rPr>
            </w:pPr>
            <w:r>
              <w:rPr>
                <w:color w:val="000000"/>
              </w:rPr>
              <w:t>(140</w:t>
            </w:r>
          </w:p>
        </w:tc>
        <w:tc>
          <w:tcPr>
            <w:tcW w:w="50" w:type="pct"/>
            <w:tcBorders>
              <w:top w:val="nil"/>
              <w:left w:val="nil"/>
              <w:bottom w:val="nil"/>
              <w:right w:val="nil"/>
            </w:tcBorders>
            <w:shd w:val="clear" w:color="auto" w:fill="FFFFFF"/>
            <w:vAlign w:val="bottom"/>
          </w:tcPr>
          <w:p w14:paraId="7414CA50"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FFFFFF"/>
            <w:vAlign w:val="bottom"/>
          </w:tcPr>
          <w:p w14:paraId="5CA25CCA"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single" w:sz="4" w:space="0" w:color="000000"/>
              <w:right w:val="nil"/>
            </w:tcBorders>
            <w:shd w:val="clear" w:color="auto" w:fill="FFFFFF"/>
            <w:vAlign w:val="bottom"/>
          </w:tcPr>
          <w:p w14:paraId="5BCEA9CB"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single" w:sz="4" w:space="0" w:color="000000"/>
              <w:right w:val="nil"/>
            </w:tcBorders>
            <w:shd w:val="clear" w:color="auto" w:fill="FFFFFF"/>
            <w:vAlign w:val="bottom"/>
          </w:tcPr>
          <w:p w14:paraId="2254A69E" w14:textId="77777777" w:rsidR="00553543" w:rsidRDefault="00584985">
            <w:pPr>
              <w:keepNext/>
              <w:pBdr>
                <w:top w:val="nil"/>
                <w:left w:val="nil"/>
                <w:bottom w:val="nil"/>
                <w:right w:val="nil"/>
                <w:between w:val="nil"/>
                <w:bar w:val="nil"/>
              </w:pBdr>
              <w:jc w:val="right"/>
              <w:rPr>
                <w:color w:val="000000"/>
              </w:rPr>
            </w:pPr>
            <w:r>
              <w:rPr>
                <w:color w:val="000000"/>
              </w:rPr>
              <w:t>(1</w:t>
            </w:r>
          </w:p>
        </w:tc>
        <w:tc>
          <w:tcPr>
            <w:tcW w:w="124" w:type="pct"/>
            <w:tcBorders>
              <w:top w:val="nil"/>
              <w:left w:val="nil"/>
              <w:bottom w:val="nil"/>
              <w:right w:val="nil"/>
            </w:tcBorders>
            <w:shd w:val="clear" w:color="auto" w:fill="FFFFFF"/>
            <w:vAlign w:val="bottom"/>
          </w:tcPr>
          <w:p w14:paraId="2488B505"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6008BC21" w14:textId="77777777">
        <w:trPr>
          <w:jc w:val="center"/>
        </w:trPr>
        <w:tc>
          <w:tcPr>
            <w:tcW w:w="2027" w:type="pct"/>
            <w:tcBorders>
              <w:top w:val="nil"/>
              <w:left w:val="nil"/>
              <w:bottom w:val="nil"/>
              <w:right w:val="nil"/>
            </w:tcBorders>
            <w:shd w:val="clear" w:color="auto" w:fill="CFF0FC"/>
          </w:tcPr>
          <w:p w14:paraId="19EF25C9" w14:textId="77777777" w:rsidR="00553543" w:rsidRDefault="00584985">
            <w:pPr>
              <w:keepNext/>
              <w:pBdr>
                <w:top w:val="nil"/>
                <w:left w:val="nil"/>
                <w:bottom w:val="nil"/>
                <w:right w:val="nil"/>
                <w:between w:val="nil"/>
                <w:bar w:val="nil"/>
              </w:pBdr>
              <w:rPr>
                <w:b/>
                <w:color w:val="000000"/>
              </w:rPr>
            </w:pPr>
            <w:r>
              <w:rPr>
                <w:b/>
                <w:color w:val="000000"/>
              </w:rPr>
              <w:t>OTHER (EXPENSE)  INCOME</w:t>
            </w:r>
          </w:p>
        </w:tc>
        <w:tc>
          <w:tcPr>
            <w:tcW w:w="61" w:type="pct"/>
            <w:tcBorders>
              <w:top w:val="nil"/>
              <w:left w:val="nil"/>
              <w:bottom w:val="nil"/>
              <w:right w:val="nil"/>
            </w:tcBorders>
            <w:shd w:val="clear" w:color="auto" w:fill="CFF0FC"/>
            <w:vAlign w:val="bottom"/>
          </w:tcPr>
          <w:p w14:paraId="0689569B"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5DCC2FD4"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7D53C8B4" w14:textId="77777777" w:rsidR="00553543" w:rsidRDefault="00553543">
            <w:pPr>
              <w:keepNext/>
              <w:pBdr>
                <w:top w:val="nil"/>
                <w:left w:val="nil"/>
                <w:bottom w:val="nil"/>
                <w:right w:val="nil"/>
                <w:between w:val="nil"/>
                <w:bar w:val="nil"/>
              </w:pBdr>
              <w:jc w:val="right"/>
              <w:rPr>
                <w:color w:val="000000"/>
              </w:rPr>
            </w:pPr>
          </w:p>
        </w:tc>
        <w:tc>
          <w:tcPr>
            <w:tcW w:w="73" w:type="pct"/>
            <w:tcBorders>
              <w:top w:val="nil"/>
              <w:left w:val="nil"/>
              <w:bottom w:val="nil"/>
              <w:right w:val="nil"/>
            </w:tcBorders>
            <w:shd w:val="clear" w:color="auto" w:fill="CFF0FC"/>
            <w:vAlign w:val="bottom"/>
          </w:tcPr>
          <w:p w14:paraId="1247A8CA"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6223098C"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75323A97" w14:textId="77777777" w:rsidR="00553543" w:rsidRDefault="00553543">
            <w:pPr>
              <w:keepNext/>
              <w:pBdr>
                <w:top w:val="nil"/>
                <w:left w:val="nil"/>
                <w:bottom w:val="nil"/>
                <w:right w:val="nil"/>
                <w:between w:val="nil"/>
                <w:bar w:val="nil"/>
              </w:pBdr>
              <w:jc w:val="right"/>
              <w:rPr>
                <w:color w:val="000000"/>
              </w:rPr>
            </w:pPr>
          </w:p>
        </w:tc>
        <w:tc>
          <w:tcPr>
            <w:tcW w:w="85" w:type="pct"/>
            <w:tcBorders>
              <w:top w:val="nil"/>
              <w:left w:val="nil"/>
              <w:bottom w:val="nil"/>
              <w:right w:val="nil"/>
            </w:tcBorders>
            <w:shd w:val="clear" w:color="auto" w:fill="CFF0FC"/>
            <w:vAlign w:val="bottom"/>
          </w:tcPr>
          <w:p w14:paraId="22FEA0ED"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1D70777F"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7EA4FCFA"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1A8A0BB8"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3CF03FED"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67D135C5" w14:textId="77777777" w:rsidR="00553543" w:rsidRDefault="00553543">
            <w:pPr>
              <w:keepNext/>
              <w:pBdr>
                <w:top w:val="nil"/>
                <w:left w:val="nil"/>
                <w:bottom w:val="nil"/>
                <w:right w:val="nil"/>
                <w:between w:val="nil"/>
                <w:bar w:val="nil"/>
              </w:pBdr>
              <w:jc w:val="right"/>
              <w:rPr>
                <w:color w:val="000000"/>
              </w:rPr>
            </w:pPr>
          </w:p>
        </w:tc>
      </w:tr>
      <w:tr w:rsidR="00553543" w14:paraId="14CBB0A4" w14:textId="77777777">
        <w:trPr>
          <w:jc w:val="center"/>
        </w:trPr>
        <w:tc>
          <w:tcPr>
            <w:tcW w:w="2027" w:type="pct"/>
            <w:tcBorders>
              <w:top w:val="nil"/>
              <w:left w:val="nil"/>
              <w:bottom w:val="nil"/>
              <w:right w:val="nil"/>
            </w:tcBorders>
            <w:shd w:val="clear" w:color="auto" w:fill="FFFFFF"/>
          </w:tcPr>
          <w:p w14:paraId="4A26179A" w14:textId="77777777" w:rsidR="00553543" w:rsidRDefault="00584985">
            <w:pPr>
              <w:keepNext/>
              <w:pBdr>
                <w:top w:val="nil"/>
                <w:left w:val="nil"/>
                <w:bottom w:val="nil"/>
                <w:right w:val="nil"/>
                <w:between w:val="nil"/>
                <w:bar w:val="nil"/>
              </w:pBdr>
              <w:rPr>
                <w:color w:val="000000"/>
              </w:rPr>
            </w:pPr>
            <w:r>
              <w:rPr>
                <w:color w:val="000000"/>
              </w:rPr>
              <w:t>Interest expense, net</w:t>
            </w:r>
          </w:p>
        </w:tc>
        <w:tc>
          <w:tcPr>
            <w:tcW w:w="61" w:type="pct"/>
            <w:tcBorders>
              <w:top w:val="nil"/>
              <w:left w:val="nil"/>
              <w:bottom w:val="nil"/>
              <w:right w:val="nil"/>
            </w:tcBorders>
            <w:shd w:val="clear" w:color="auto" w:fill="FFFFFF"/>
            <w:vAlign w:val="bottom"/>
          </w:tcPr>
          <w:p w14:paraId="3264521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4DAD88A8"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15606223" w14:textId="77777777" w:rsidR="00553543" w:rsidRDefault="00584985">
            <w:pPr>
              <w:keepNext/>
              <w:pBdr>
                <w:top w:val="nil"/>
                <w:left w:val="nil"/>
                <w:bottom w:val="nil"/>
                <w:right w:val="nil"/>
                <w:between w:val="nil"/>
                <w:bar w:val="nil"/>
              </w:pBdr>
              <w:jc w:val="right"/>
              <w:rPr>
                <w:color w:val="000000"/>
              </w:rPr>
            </w:pPr>
            <w:r>
              <w:rPr>
                <w:color w:val="000000"/>
              </w:rPr>
              <w:t>(1,147</w:t>
            </w:r>
          </w:p>
        </w:tc>
        <w:tc>
          <w:tcPr>
            <w:tcW w:w="50" w:type="pct"/>
            <w:tcBorders>
              <w:top w:val="nil"/>
              <w:left w:val="nil"/>
              <w:bottom w:val="nil"/>
              <w:right w:val="nil"/>
            </w:tcBorders>
            <w:shd w:val="clear" w:color="auto" w:fill="FFFFFF"/>
            <w:vAlign w:val="bottom"/>
          </w:tcPr>
          <w:p w14:paraId="2DA188AC" w14:textId="77777777" w:rsidR="00553543" w:rsidRDefault="00584985">
            <w:pPr>
              <w:keepNext/>
              <w:pBdr>
                <w:top w:val="nil"/>
                <w:left w:val="nil"/>
                <w:bottom w:val="nil"/>
                <w:right w:val="nil"/>
                <w:between w:val="nil"/>
                <w:bar w:val="nil"/>
              </w:pBdr>
              <w:rPr>
                <w:color w:val="000000"/>
              </w:rPr>
            </w:pPr>
            <w:r>
              <w:rPr>
                <w:color w:val="000000"/>
              </w:rPr>
              <w:t>)</w:t>
            </w:r>
          </w:p>
        </w:tc>
        <w:tc>
          <w:tcPr>
            <w:tcW w:w="73" w:type="pct"/>
            <w:tcBorders>
              <w:top w:val="nil"/>
              <w:left w:val="nil"/>
              <w:bottom w:val="nil"/>
              <w:right w:val="nil"/>
            </w:tcBorders>
            <w:shd w:val="clear" w:color="auto" w:fill="FFFFFF"/>
            <w:vAlign w:val="bottom"/>
          </w:tcPr>
          <w:p w14:paraId="2904EB8D"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3CCD5B7C"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2D3B8707" w14:textId="77777777" w:rsidR="00553543" w:rsidRDefault="00584985">
            <w:pPr>
              <w:keepNext/>
              <w:pBdr>
                <w:top w:val="nil"/>
                <w:left w:val="nil"/>
                <w:bottom w:val="nil"/>
                <w:right w:val="nil"/>
                <w:between w:val="nil"/>
                <w:bar w:val="nil"/>
              </w:pBdr>
              <w:jc w:val="right"/>
              <w:rPr>
                <w:color w:val="000000"/>
              </w:rPr>
            </w:pPr>
            <w:r>
              <w:rPr>
                <w:color w:val="000000"/>
              </w:rPr>
              <w:t>(2,955</w:t>
            </w:r>
          </w:p>
        </w:tc>
        <w:tc>
          <w:tcPr>
            <w:tcW w:w="50" w:type="pct"/>
            <w:tcBorders>
              <w:top w:val="nil"/>
              <w:left w:val="nil"/>
              <w:bottom w:val="nil"/>
              <w:right w:val="nil"/>
            </w:tcBorders>
            <w:shd w:val="clear" w:color="auto" w:fill="FFFFFF"/>
            <w:vAlign w:val="bottom"/>
          </w:tcPr>
          <w:p w14:paraId="5FB7EF5B" w14:textId="77777777" w:rsidR="00553543" w:rsidRDefault="00584985">
            <w:pPr>
              <w:keepNext/>
              <w:pBdr>
                <w:top w:val="nil"/>
                <w:left w:val="nil"/>
                <w:bottom w:val="nil"/>
                <w:right w:val="nil"/>
                <w:between w:val="nil"/>
                <w:bar w:val="nil"/>
              </w:pBdr>
              <w:rPr>
                <w:color w:val="000000"/>
              </w:rPr>
            </w:pPr>
            <w:r>
              <w:rPr>
                <w:color w:val="000000"/>
              </w:rPr>
              <w:t>)</w:t>
            </w:r>
          </w:p>
        </w:tc>
        <w:tc>
          <w:tcPr>
            <w:tcW w:w="85" w:type="pct"/>
            <w:tcBorders>
              <w:top w:val="nil"/>
              <w:left w:val="nil"/>
              <w:bottom w:val="nil"/>
              <w:right w:val="nil"/>
            </w:tcBorders>
            <w:shd w:val="clear" w:color="auto" w:fill="FFFFFF"/>
            <w:vAlign w:val="bottom"/>
          </w:tcPr>
          <w:p w14:paraId="2E6671C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2B2741C6"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nil"/>
              <w:right w:val="nil"/>
            </w:tcBorders>
            <w:shd w:val="clear" w:color="auto" w:fill="FFFFFF"/>
            <w:vAlign w:val="bottom"/>
          </w:tcPr>
          <w:p w14:paraId="1C130D0B" w14:textId="77777777" w:rsidR="00553543" w:rsidRDefault="00584985">
            <w:pPr>
              <w:keepNext/>
              <w:pBdr>
                <w:top w:val="nil"/>
                <w:left w:val="nil"/>
                <w:bottom w:val="nil"/>
                <w:right w:val="nil"/>
                <w:between w:val="nil"/>
                <w:bar w:val="nil"/>
              </w:pBdr>
              <w:jc w:val="right"/>
              <w:rPr>
                <w:color w:val="000000"/>
              </w:rPr>
            </w:pPr>
            <w:r>
              <w:rPr>
                <w:color w:val="000000"/>
              </w:rPr>
              <w:t>1,808</w:t>
            </w:r>
          </w:p>
        </w:tc>
        <w:tc>
          <w:tcPr>
            <w:tcW w:w="50" w:type="pct"/>
            <w:tcBorders>
              <w:top w:val="nil"/>
              <w:left w:val="nil"/>
              <w:bottom w:val="nil"/>
              <w:right w:val="nil"/>
            </w:tcBorders>
            <w:shd w:val="clear" w:color="auto" w:fill="FFFFFF"/>
            <w:vAlign w:val="bottom"/>
          </w:tcPr>
          <w:p w14:paraId="21E816BF"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5FBD5641"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vAlign w:val="bottom"/>
          </w:tcPr>
          <w:p w14:paraId="7DA2F6A4"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nil"/>
              <w:right w:val="nil"/>
            </w:tcBorders>
            <w:shd w:val="clear" w:color="auto" w:fill="FFFFFF"/>
            <w:vAlign w:val="bottom"/>
          </w:tcPr>
          <w:p w14:paraId="6FDCFB85" w14:textId="77777777" w:rsidR="00553543" w:rsidRDefault="00584985">
            <w:pPr>
              <w:keepNext/>
              <w:pBdr>
                <w:top w:val="nil"/>
                <w:left w:val="nil"/>
                <w:bottom w:val="nil"/>
                <w:right w:val="nil"/>
                <w:between w:val="nil"/>
                <w:bar w:val="nil"/>
              </w:pBdr>
              <w:jc w:val="right"/>
              <w:rPr>
                <w:color w:val="000000"/>
              </w:rPr>
            </w:pPr>
            <w:r>
              <w:rPr>
                <w:color w:val="000000"/>
              </w:rPr>
              <w:t>61</w:t>
            </w:r>
          </w:p>
        </w:tc>
        <w:tc>
          <w:tcPr>
            <w:tcW w:w="124" w:type="pct"/>
            <w:tcBorders>
              <w:top w:val="nil"/>
              <w:left w:val="nil"/>
              <w:bottom w:val="nil"/>
              <w:right w:val="nil"/>
            </w:tcBorders>
            <w:shd w:val="clear" w:color="auto" w:fill="FFFFFF"/>
            <w:vAlign w:val="bottom"/>
          </w:tcPr>
          <w:p w14:paraId="0BAA0698"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154CDCB2" w14:textId="77777777">
        <w:trPr>
          <w:jc w:val="center"/>
        </w:trPr>
        <w:tc>
          <w:tcPr>
            <w:tcW w:w="2027" w:type="pct"/>
            <w:tcBorders>
              <w:top w:val="nil"/>
              <w:left w:val="nil"/>
              <w:bottom w:val="nil"/>
              <w:right w:val="nil"/>
            </w:tcBorders>
            <w:shd w:val="clear" w:color="auto" w:fill="CFF0FC"/>
          </w:tcPr>
          <w:p w14:paraId="654438A0" w14:textId="77777777" w:rsidR="00553543" w:rsidRDefault="00584985">
            <w:pPr>
              <w:keepNext/>
              <w:pBdr>
                <w:top w:val="nil"/>
                <w:left w:val="nil"/>
                <w:bottom w:val="nil"/>
                <w:right w:val="nil"/>
                <w:between w:val="nil"/>
                <w:bar w:val="nil"/>
              </w:pBdr>
              <w:rPr>
                <w:color w:val="000000"/>
              </w:rPr>
            </w:pPr>
            <w:r>
              <w:rPr>
                <w:color w:val="000000"/>
              </w:rPr>
              <w:t>Change in fair value of warrant liabilities</w:t>
            </w:r>
          </w:p>
        </w:tc>
        <w:tc>
          <w:tcPr>
            <w:tcW w:w="61" w:type="pct"/>
            <w:tcBorders>
              <w:top w:val="nil"/>
              <w:left w:val="nil"/>
              <w:bottom w:val="nil"/>
              <w:right w:val="nil"/>
            </w:tcBorders>
            <w:shd w:val="clear" w:color="auto" w:fill="CFF0FC"/>
            <w:vAlign w:val="bottom"/>
          </w:tcPr>
          <w:p w14:paraId="053D430C"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1A41CC93"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CFF0FC"/>
            <w:vAlign w:val="bottom"/>
          </w:tcPr>
          <w:p w14:paraId="6951D321" w14:textId="77777777" w:rsidR="00553543" w:rsidRDefault="00584985">
            <w:pPr>
              <w:keepNext/>
              <w:pBdr>
                <w:top w:val="nil"/>
                <w:left w:val="nil"/>
                <w:bottom w:val="nil"/>
                <w:right w:val="nil"/>
                <w:between w:val="nil"/>
                <w:bar w:val="nil"/>
              </w:pBdr>
              <w:jc w:val="right"/>
              <w:rPr>
                <w:color w:val="000000"/>
              </w:rPr>
            </w:pPr>
            <w:r>
              <w:rPr>
                <w:color w:val="000000"/>
              </w:rPr>
              <w:t>—</w:t>
            </w:r>
          </w:p>
        </w:tc>
        <w:tc>
          <w:tcPr>
            <w:tcW w:w="50" w:type="pct"/>
            <w:tcBorders>
              <w:top w:val="nil"/>
              <w:left w:val="nil"/>
              <w:bottom w:val="nil"/>
              <w:right w:val="nil"/>
            </w:tcBorders>
            <w:shd w:val="clear" w:color="auto" w:fill="CFF0FC"/>
            <w:vAlign w:val="bottom"/>
          </w:tcPr>
          <w:p w14:paraId="031D8DE1"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1FD8B201"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57318BDC"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CFF0FC"/>
            <w:vAlign w:val="bottom"/>
          </w:tcPr>
          <w:p w14:paraId="22CF49F2" w14:textId="77777777" w:rsidR="00553543" w:rsidRDefault="00584985">
            <w:pPr>
              <w:keepNext/>
              <w:pBdr>
                <w:top w:val="nil"/>
                <w:left w:val="nil"/>
                <w:bottom w:val="nil"/>
                <w:right w:val="nil"/>
                <w:between w:val="nil"/>
                <w:bar w:val="nil"/>
              </w:pBdr>
              <w:jc w:val="right"/>
              <w:rPr>
                <w:color w:val="000000"/>
              </w:rPr>
            </w:pPr>
            <w:r>
              <w:rPr>
                <w:color w:val="000000"/>
              </w:rPr>
              <w:t>7,723</w:t>
            </w:r>
          </w:p>
        </w:tc>
        <w:tc>
          <w:tcPr>
            <w:tcW w:w="50" w:type="pct"/>
            <w:tcBorders>
              <w:top w:val="nil"/>
              <w:left w:val="nil"/>
              <w:bottom w:val="nil"/>
              <w:right w:val="nil"/>
            </w:tcBorders>
            <w:shd w:val="clear" w:color="auto" w:fill="CFF0FC"/>
            <w:vAlign w:val="bottom"/>
          </w:tcPr>
          <w:p w14:paraId="05548649"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16B048E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CFF0FC"/>
            <w:vAlign w:val="bottom"/>
          </w:tcPr>
          <w:p w14:paraId="03EAA4F6"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single" w:sz="4" w:space="0" w:color="000000"/>
              <w:right w:val="nil"/>
            </w:tcBorders>
            <w:shd w:val="clear" w:color="auto" w:fill="CFF0FC"/>
            <w:vAlign w:val="bottom"/>
          </w:tcPr>
          <w:p w14:paraId="5BC72451" w14:textId="77777777" w:rsidR="00553543" w:rsidRDefault="00584985">
            <w:pPr>
              <w:keepNext/>
              <w:pBdr>
                <w:top w:val="nil"/>
                <w:left w:val="nil"/>
                <w:bottom w:val="nil"/>
                <w:right w:val="nil"/>
                <w:between w:val="nil"/>
                <w:bar w:val="nil"/>
              </w:pBdr>
              <w:jc w:val="right"/>
              <w:rPr>
                <w:color w:val="000000"/>
              </w:rPr>
            </w:pPr>
            <w:r>
              <w:rPr>
                <w:color w:val="000000"/>
              </w:rPr>
              <w:t>(7,723</w:t>
            </w:r>
          </w:p>
        </w:tc>
        <w:tc>
          <w:tcPr>
            <w:tcW w:w="50" w:type="pct"/>
            <w:tcBorders>
              <w:top w:val="nil"/>
              <w:left w:val="nil"/>
              <w:bottom w:val="nil"/>
              <w:right w:val="nil"/>
            </w:tcBorders>
            <w:shd w:val="clear" w:color="auto" w:fill="CFF0FC"/>
            <w:vAlign w:val="bottom"/>
          </w:tcPr>
          <w:p w14:paraId="01C9250D"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CFF0FC"/>
            <w:vAlign w:val="bottom"/>
          </w:tcPr>
          <w:p w14:paraId="1C9F0D3C"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single" w:sz="4" w:space="0" w:color="000000"/>
              <w:right w:val="nil"/>
            </w:tcBorders>
            <w:shd w:val="clear" w:color="auto" w:fill="CFF0FC"/>
            <w:vAlign w:val="bottom"/>
          </w:tcPr>
          <w:p w14:paraId="1CCB8268"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single" w:sz="4" w:space="0" w:color="000000"/>
              <w:right w:val="nil"/>
            </w:tcBorders>
            <w:shd w:val="clear" w:color="auto" w:fill="CFF0FC"/>
            <w:vAlign w:val="bottom"/>
          </w:tcPr>
          <w:p w14:paraId="46567E76" w14:textId="77777777" w:rsidR="00553543" w:rsidRDefault="00584985">
            <w:pPr>
              <w:keepNext/>
              <w:pBdr>
                <w:top w:val="nil"/>
                <w:left w:val="nil"/>
                <w:bottom w:val="nil"/>
                <w:right w:val="nil"/>
                <w:between w:val="nil"/>
                <w:bar w:val="nil"/>
              </w:pBdr>
              <w:jc w:val="right"/>
              <w:rPr>
                <w:color w:val="000000"/>
              </w:rPr>
            </w:pPr>
            <w:r>
              <w:rPr>
                <w:color w:val="000000"/>
              </w:rPr>
              <w:t>(100</w:t>
            </w:r>
          </w:p>
        </w:tc>
        <w:tc>
          <w:tcPr>
            <w:tcW w:w="124" w:type="pct"/>
            <w:tcBorders>
              <w:top w:val="nil"/>
              <w:left w:val="nil"/>
              <w:bottom w:val="nil"/>
              <w:right w:val="nil"/>
            </w:tcBorders>
            <w:shd w:val="clear" w:color="auto" w:fill="CFF0FC"/>
            <w:vAlign w:val="bottom"/>
          </w:tcPr>
          <w:p w14:paraId="7F3E54EC"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26C6EC6F" w14:textId="77777777">
        <w:trPr>
          <w:jc w:val="center"/>
        </w:trPr>
        <w:tc>
          <w:tcPr>
            <w:tcW w:w="2027" w:type="pct"/>
            <w:tcBorders>
              <w:top w:val="nil"/>
              <w:left w:val="nil"/>
              <w:bottom w:val="nil"/>
              <w:right w:val="nil"/>
            </w:tcBorders>
            <w:shd w:val="clear" w:color="auto" w:fill="FFFFFF"/>
          </w:tcPr>
          <w:p w14:paraId="40BB4EFD" w14:textId="77777777" w:rsidR="00553543" w:rsidRDefault="00584985">
            <w:pPr>
              <w:keepNext/>
              <w:pBdr>
                <w:top w:val="nil"/>
                <w:left w:val="nil"/>
                <w:bottom w:val="nil"/>
                <w:right w:val="nil"/>
                <w:between w:val="nil"/>
                <w:bar w:val="nil"/>
              </w:pBdr>
              <w:ind w:left="200"/>
              <w:rPr>
                <w:color w:val="000000"/>
              </w:rPr>
            </w:pPr>
            <w:r>
              <w:rPr>
                <w:color w:val="000000"/>
              </w:rPr>
              <w:t>Total other (expense) income</w:t>
            </w:r>
          </w:p>
        </w:tc>
        <w:tc>
          <w:tcPr>
            <w:tcW w:w="61" w:type="pct"/>
            <w:tcBorders>
              <w:top w:val="nil"/>
              <w:left w:val="nil"/>
              <w:bottom w:val="nil"/>
              <w:right w:val="nil"/>
            </w:tcBorders>
            <w:shd w:val="clear" w:color="auto" w:fill="FFFFFF"/>
            <w:vAlign w:val="bottom"/>
          </w:tcPr>
          <w:p w14:paraId="6CD20DD5"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5169A0FC"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5C51C015" w14:textId="77777777" w:rsidR="00553543" w:rsidRDefault="00584985">
            <w:pPr>
              <w:keepNext/>
              <w:pBdr>
                <w:top w:val="nil"/>
                <w:left w:val="nil"/>
                <w:bottom w:val="nil"/>
                <w:right w:val="nil"/>
                <w:between w:val="nil"/>
                <w:bar w:val="nil"/>
              </w:pBdr>
              <w:jc w:val="right"/>
              <w:rPr>
                <w:color w:val="000000"/>
              </w:rPr>
            </w:pPr>
            <w:r>
              <w:rPr>
                <w:color w:val="000000"/>
              </w:rPr>
              <w:t>(1,147</w:t>
            </w:r>
          </w:p>
        </w:tc>
        <w:tc>
          <w:tcPr>
            <w:tcW w:w="50" w:type="pct"/>
            <w:tcBorders>
              <w:top w:val="nil"/>
              <w:left w:val="nil"/>
              <w:bottom w:val="nil"/>
              <w:right w:val="nil"/>
            </w:tcBorders>
            <w:shd w:val="clear" w:color="auto" w:fill="FFFFFF"/>
            <w:vAlign w:val="bottom"/>
          </w:tcPr>
          <w:p w14:paraId="4742CBFB" w14:textId="77777777" w:rsidR="00553543" w:rsidRDefault="00584985">
            <w:pPr>
              <w:keepNext/>
              <w:pBdr>
                <w:top w:val="nil"/>
                <w:left w:val="nil"/>
                <w:bottom w:val="nil"/>
                <w:right w:val="nil"/>
                <w:between w:val="nil"/>
                <w:bar w:val="nil"/>
              </w:pBdr>
              <w:rPr>
                <w:color w:val="000000"/>
              </w:rPr>
            </w:pPr>
            <w:r>
              <w:rPr>
                <w:color w:val="000000"/>
              </w:rPr>
              <w:t>)</w:t>
            </w:r>
          </w:p>
        </w:tc>
        <w:tc>
          <w:tcPr>
            <w:tcW w:w="73" w:type="pct"/>
            <w:tcBorders>
              <w:top w:val="nil"/>
              <w:left w:val="nil"/>
              <w:bottom w:val="nil"/>
              <w:right w:val="nil"/>
            </w:tcBorders>
            <w:shd w:val="clear" w:color="auto" w:fill="FFFFFF"/>
            <w:vAlign w:val="bottom"/>
          </w:tcPr>
          <w:p w14:paraId="68983AAB"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330F8DD6"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single" w:sz="4" w:space="0" w:color="000000"/>
              <w:right w:val="nil"/>
            </w:tcBorders>
            <w:shd w:val="clear" w:color="auto" w:fill="FFFFFF"/>
            <w:vAlign w:val="bottom"/>
          </w:tcPr>
          <w:p w14:paraId="76C10ACE" w14:textId="77777777" w:rsidR="00553543" w:rsidRDefault="00584985">
            <w:pPr>
              <w:keepNext/>
              <w:pBdr>
                <w:top w:val="nil"/>
                <w:left w:val="nil"/>
                <w:bottom w:val="nil"/>
                <w:right w:val="nil"/>
                <w:between w:val="nil"/>
                <w:bar w:val="nil"/>
              </w:pBdr>
              <w:jc w:val="right"/>
              <w:rPr>
                <w:color w:val="000000"/>
              </w:rPr>
            </w:pPr>
            <w:r>
              <w:rPr>
                <w:color w:val="000000"/>
              </w:rPr>
              <w:t>4,768</w:t>
            </w:r>
          </w:p>
        </w:tc>
        <w:tc>
          <w:tcPr>
            <w:tcW w:w="50" w:type="pct"/>
            <w:tcBorders>
              <w:top w:val="nil"/>
              <w:left w:val="nil"/>
              <w:bottom w:val="nil"/>
              <w:right w:val="nil"/>
            </w:tcBorders>
            <w:shd w:val="clear" w:color="auto" w:fill="FFFFFF"/>
            <w:vAlign w:val="bottom"/>
          </w:tcPr>
          <w:p w14:paraId="66C86649"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3108FCA0"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single" w:sz="4" w:space="0" w:color="000000"/>
              <w:right w:val="nil"/>
            </w:tcBorders>
            <w:shd w:val="clear" w:color="auto" w:fill="FFFFFF"/>
            <w:vAlign w:val="bottom"/>
          </w:tcPr>
          <w:p w14:paraId="40D05480" w14:textId="77777777" w:rsidR="00553543" w:rsidRDefault="00553543">
            <w:pPr>
              <w:keepNext/>
              <w:pBdr>
                <w:top w:val="nil"/>
                <w:left w:val="nil"/>
                <w:bottom w:val="nil"/>
                <w:right w:val="nil"/>
                <w:between w:val="nil"/>
                <w:bar w:val="nil"/>
              </w:pBdr>
              <w:rPr>
                <w:color w:val="000000"/>
              </w:rPr>
            </w:pPr>
          </w:p>
        </w:tc>
        <w:tc>
          <w:tcPr>
            <w:tcW w:w="562" w:type="pct"/>
            <w:tcBorders>
              <w:top w:val="single" w:sz="4" w:space="0" w:color="000000"/>
              <w:left w:val="nil"/>
              <w:bottom w:val="single" w:sz="4" w:space="0" w:color="000000"/>
              <w:right w:val="nil"/>
            </w:tcBorders>
            <w:shd w:val="clear" w:color="auto" w:fill="FFFFFF"/>
            <w:vAlign w:val="bottom"/>
          </w:tcPr>
          <w:p w14:paraId="13468C31" w14:textId="77777777" w:rsidR="00553543" w:rsidRDefault="00584985">
            <w:pPr>
              <w:keepNext/>
              <w:pBdr>
                <w:top w:val="nil"/>
                <w:left w:val="nil"/>
                <w:bottom w:val="nil"/>
                <w:right w:val="nil"/>
                <w:between w:val="nil"/>
                <w:bar w:val="nil"/>
              </w:pBdr>
              <w:jc w:val="right"/>
              <w:rPr>
                <w:color w:val="000000"/>
              </w:rPr>
            </w:pPr>
            <w:r>
              <w:rPr>
                <w:color w:val="000000"/>
              </w:rPr>
              <w:t>(5,915</w:t>
            </w:r>
          </w:p>
        </w:tc>
        <w:tc>
          <w:tcPr>
            <w:tcW w:w="50" w:type="pct"/>
            <w:tcBorders>
              <w:top w:val="nil"/>
              <w:left w:val="nil"/>
              <w:bottom w:val="nil"/>
              <w:right w:val="nil"/>
            </w:tcBorders>
            <w:shd w:val="clear" w:color="auto" w:fill="FFFFFF"/>
            <w:vAlign w:val="bottom"/>
          </w:tcPr>
          <w:p w14:paraId="147CF78A"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FFFFFF"/>
            <w:vAlign w:val="bottom"/>
          </w:tcPr>
          <w:p w14:paraId="19312467"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single" w:sz="4" w:space="0" w:color="000000"/>
              <w:right w:val="nil"/>
            </w:tcBorders>
            <w:shd w:val="clear" w:color="auto" w:fill="FFFFFF"/>
            <w:vAlign w:val="bottom"/>
          </w:tcPr>
          <w:p w14:paraId="0D4E50E6"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single" w:sz="4" w:space="0" w:color="000000"/>
              <w:right w:val="nil"/>
            </w:tcBorders>
            <w:shd w:val="clear" w:color="auto" w:fill="FFFFFF"/>
            <w:vAlign w:val="bottom"/>
          </w:tcPr>
          <w:p w14:paraId="108233FE" w14:textId="77777777" w:rsidR="00553543" w:rsidRDefault="00584985">
            <w:pPr>
              <w:keepNext/>
              <w:pBdr>
                <w:top w:val="nil"/>
                <w:left w:val="nil"/>
                <w:bottom w:val="nil"/>
                <w:right w:val="nil"/>
                <w:between w:val="nil"/>
                <w:bar w:val="nil"/>
              </w:pBdr>
              <w:jc w:val="right"/>
              <w:rPr>
                <w:color w:val="000000"/>
              </w:rPr>
            </w:pPr>
            <w:r>
              <w:rPr>
                <w:color w:val="000000"/>
              </w:rPr>
              <w:t>(124</w:t>
            </w:r>
          </w:p>
        </w:tc>
        <w:tc>
          <w:tcPr>
            <w:tcW w:w="124" w:type="pct"/>
            <w:tcBorders>
              <w:top w:val="nil"/>
              <w:left w:val="nil"/>
              <w:bottom w:val="nil"/>
              <w:right w:val="nil"/>
            </w:tcBorders>
            <w:shd w:val="clear" w:color="auto" w:fill="FFFFFF"/>
            <w:vAlign w:val="bottom"/>
          </w:tcPr>
          <w:p w14:paraId="6E113FBB"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4676251E" w14:textId="77777777">
        <w:trPr>
          <w:jc w:val="center"/>
        </w:trPr>
        <w:tc>
          <w:tcPr>
            <w:tcW w:w="2027" w:type="pct"/>
            <w:tcBorders>
              <w:top w:val="nil"/>
              <w:left w:val="nil"/>
              <w:bottom w:val="nil"/>
              <w:right w:val="nil"/>
            </w:tcBorders>
            <w:shd w:val="clear" w:color="auto" w:fill="CFF0FC"/>
          </w:tcPr>
          <w:p w14:paraId="38692FC6" w14:textId="77777777" w:rsidR="00553543" w:rsidRDefault="00584985">
            <w:pPr>
              <w:keepNext/>
              <w:pBdr>
                <w:top w:val="nil"/>
                <w:left w:val="nil"/>
                <w:bottom w:val="nil"/>
                <w:right w:val="nil"/>
                <w:between w:val="nil"/>
                <w:bar w:val="nil"/>
              </w:pBdr>
              <w:rPr>
                <w:color w:val="000000"/>
              </w:rPr>
            </w:pPr>
            <w:r>
              <w:rPr>
                <w:color w:val="000000"/>
              </w:rPr>
              <w:t>Income before income tax expense</w:t>
            </w:r>
          </w:p>
        </w:tc>
        <w:tc>
          <w:tcPr>
            <w:tcW w:w="61" w:type="pct"/>
            <w:tcBorders>
              <w:top w:val="nil"/>
              <w:left w:val="nil"/>
              <w:bottom w:val="nil"/>
              <w:right w:val="nil"/>
            </w:tcBorders>
            <w:shd w:val="clear" w:color="auto" w:fill="CFF0FC"/>
            <w:vAlign w:val="bottom"/>
          </w:tcPr>
          <w:p w14:paraId="365A836A"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49705419"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nil"/>
              <w:right w:val="nil"/>
            </w:tcBorders>
            <w:shd w:val="clear" w:color="auto" w:fill="CFF0FC"/>
            <w:vAlign w:val="bottom"/>
          </w:tcPr>
          <w:p w14:paraId="75570DB5" w14:textId="77777777" w:rsidR="00553543" w:rsidRDefault="00584985">
            <w:pPr>
              <w:keepNext/>
              <w:pBdr>
                <w:top w:val="nil"/>
                <w:left w:val="nil"/>
                <w:bottom w:val="nil"/>
                <w:right w:val="nil"/>
                <w:between w:val="nil"/>
                <w:bar w:val="nil"/>
              </w:pBdr>
              <w:jc w:val="right"/>
              <w:rPr>
                <w:color w:val="000000"/>
              </w:rPr>
            </w:pPr>
            <w:r>
              <w:rPr>
                <w:color w:val="000000"/>
              </w:rPr>
              <w:t>15,690</w:t>
            </w:r>
          </w:p>
        </w:tc>
        <w:tc>
          <w:tcPr>
            <w:tcW w:w="50" w:type="pct"/>
            <w:tcBorders>
              <w:top w:val="nil"/>
              <w:left w:val="nil"/>
              <w:bottom w:val="nil"/>
              <w:right w:val="nil"/>
            </w:tcBorders>
            <w:shd w:val="clear" w:color="auto" w:fill="CFF0FC"/>
            <w:vAlign w:val="bottom"/>
          </w:tcPr>
          <w:p w14:paraId="27B5D5A9"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05D28672"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787C72EA" w14:textId="77777777" w:rsidR="00553543" w:rsidRDefault="00553543">
            <w:pPr>
              <w:keepNext/>
              <w:pBdr>
                <w:top w:val="nil"/>
                <w:left w:val="nil"/>
                <w:bottom w:val="nil"/>
                <w:right w:val="nil"/>
                <w:between w:val="nil"/>
                <w:bar w:val="nil"/>
              </w:pBdr>
              <w:rPr>
                <w:color w:val="000000"/>
              </w:rPr>
            </w:pPr>
          </w:p>
        </w:tc>
        <w:tc>
          <w:tcPr>
            <w:tcW w:w="568" w:type="pct"/>
            <w:tcBorders>
              <w:top w:val="single" w:sz="4" w:space="0" w:color="000000"/>
              <w:left w:val="nil"/>
              <w:bottom w:val="nil"/>
              <w:right w:val="nil"/>
            </w:tcBorders>
            <w:shd w:val="clear" w:color="auto" w:fill="CFF0FC"/>
            <w:vAlign w:val="bottom"/>
          </w:tcPr>
          <w:p w14:paraId="5951815A" w14:textId="77777777" w:rsidR="00553543" w:rsidRDefault="00584985">
            <w:pPr>
              <w:keepNext/>
              <w:pBdr>
                <w:top w:val="nil"/>
                <w:left w:val="nil"/>
                <w:bottom w:val="nil"/>
                <w:right w:val="nil"/>
                <w:between w:val="nil"/>
                <w:bar w:val="nil"/>
              </w:pBdr>
              <w:jc w:val="right"/>
              <w:rPr>
                <w:color w:val="000000"/>
              </w:rPr>
            </w:pPr>
            <w:r>
              <w:rPr>
                <w:color w:val="000000"/>
              </w:rPr>
              <w:t>21,745</w:t>
            </w:r>
          </w:p>
        </w:tc>
        <w:tc>
          <w:tcPr>
            <w:tcW w:w="50" w:type="pct"/>
            <w:tcBorders>
              <w:top w:val="nil"/>
              <w:left w:val="nil"/>
              <w:bottom w:val="nil"/>
              <w:right w:val="nil"/>
            </w:tcBorders>
            <w:shd w:val="clear" w:color="auto" w:fill="CFF0FC"/>
            <w:vAlign w:val="bottom"/>
          </w:tcPr>
          <w:p w14:paraId="26DC4DC3"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6C9FF32D"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4F40EE2C" w14:textId="77777777" w:rsidR="00553543" w:rsidRDefault="00553543">
            <w:pPr>
              <w:keepNext/>
              <w:pBdr>
                <w:top w:val="nil"/>
                <w:left w:val="nil"/>
                <w:bottom w:val="nil"/>
                <w:right w:val="nil"/>
                <w:between w:val="nil"/>
                <w:bar w:val="nil"/>
              </w:pBdr>
              <w:rPr>
                <w:color w:val="000000"/>
              </w:rPr>
            </w:pPr>
          </w:p>
        </w:tc>
        <w:tc>
          <w:tcPr>
            <w:tcW w:w="562" w:type="pct"/>
            <w:tcBorders>
              <w:top w:val="single" w:sz="4" w:space="0" w:color="000000"/>
              <w:left w:val="nil"/>
              <w:bottom w:val="nil"/>
              <w:right w:val="nil"/>
            </w:tcBorders>
            <w:shd w:val="clear" w:color="auto" w:fill="CFF0FC"/>
            <w:vAlign w:val="bottom"/>
          </w:tcPr>
          <w:p w14:paraId="08FDEC53" w14:textId="77777777" w:rsidR="00553543" w:rsidRDefault="00584985">
            <w:pPr>
              <w:keepNext/>
              <w:pBdr>
                <w:top w:val="nil"/>
                <w:left w:val="nil"/>
                <w:bottom w:val="nil"/>
                <w:right w:val="nil"/>
                <w:between w:val="nil"/>
                <w:bar w:val="nil"/>
              </w:pBdr>
              <w:jc w:val="right"/>
              <w:rPr>
                <w:color w:val="000000"/>
              </w:rPr>
            </w:pPr>
            <w:r>
              <w:rPr>
                <w:color w:val="000000"/>
              </w:rPr>
              <w:t>(6,055</w:t>
            </w:r>
          </w:p>
        </w:tc>
        <w:tc>
          <w:tcPr>
            <w:tcW w:w="50" w:type="pct"/>
            <w:tcBorders>
              <w:top w:val="nil"/>
              <w:left w:val="nil"/>
              <w:bottom w:val="nil"/>
              <w:right w:val="nil"/>
            </w:tcBorders>
            <w:shd w:val="clear" w:color="auto" w:fill="CFF0FC"/>
            <w:vAlign w:val="bottom"/>
          </w:tcPr>
          <w:p w14:paraId="105FD391"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CFF0FC"/>
            <w:vAlign w:val="bottom"/>
          </w:tcPr>
          <w:p w14:paraId="474429FB"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nil"/>
              <w:right w:val="nil"/>
            </w:tcBorders>
            <w:shd w:val="clear" w:color="auto" w:fill="CFF0FC"/>
            <w:vAlign w:val="bottom"/>
          </w:tcPr>
          <w:p w14:paraId="1D0B66E4"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nil"/>
              <w:right w:val="nil"/>
            </w:tcBorders>
            <w:shd w:val="clear" w:color="auto" w:fill="CFF0FC"/>
            <w:vAlign w:val="bottom"/>
          </w:tcPr>
          <w:p w14:paraId="5976F119" w14:textId="77777777" w:rsidR="00553543" w:rsidRDefault="00584985">
            <w:pPr>
              <w:keepNext/>
              <w:pBdr>
                <w:top w:val="nil"/>
                <w:left w:val="nil"/>
                <w:bottom w:val="nil"/>
                <w:right w:val="nil"/>
                <w:between w:val="nil"/>
                <w:bar w:val="nil"/>
              </w:pBdr>
              <w:jc w:val="right"/>
              <w:rPr>
                <w:color w:val="000000"/>
              </w:rPr>
            </w:pPr>
            <w:r>
              <w:rPr>
                <w:color w:val="000000"/>
              </w:rPr>
              <w:t>(28</w:t>
            </w:r>
          </w:p>
        </w:tc>
        <w:tc>
          <w:tcPr>
            <w:tcW w:w="124" w:type="pct"/>
            <w:tcBorders>
              <w:top w:val="nil"/>
              <w:left w:val="nil"/>
              <w:bottom w:val="nil"/>
              <w:right w:val="nil"/>
            </w:tcBorders>
            <w:shd w:val="clear" w:color="auto" w:fill="CFF0FC"/>
            <w:vAlign w:val="bottom"/>
          </w:tcPr>
          <w:p w14:paraId="430C35BB"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5C96B253" w14:textId="77777777">
        <w:trPr>
          <w:jc w:val="center"/>
        </w:trPr>
        <w:tc>
          <w:tcPr>
            <w:tcW w:w="2027" w:type="pct"/>
            <w:tcBorders>
              <w:top w:val="nil"/>
              <w:left w:val="nil"/>
              <w:bottom w:val="nil"/>
              <w:right w:val="nil"/>
            </w:tcBorders>
            <w:shd w:val="clear" w:color="auto" w:fill="FFFFFF"/>
          </w:tcPr>
          <w:p w14:paraId="3D7AD61A" w14:textId="77777777" w:rsidR="00553543" w:rsidRDefault="00584985">
            <w:pPr>
              <w:keepNext/>
              <w:pBdr>
                <w:top w:val="nil"/>
                <w:left w:val="nil"/>
                <w:bottom w:val="nil"/>
                <w:right w:val="nil"/>
                <w:between w:val="nil"/>
                <w:bar w:val="nil"/>
              </w:pBdr>
              <w:rPr>
                <w:b/>
                <w:color w:val="000000"/>
              </w:rPr>
            </w:pPr>
            <w:r>
              <w:rPr>
                <w:b/>
                <w:color w:val="000000"/>
              </w:rPr>
              <w:t>INCOME TAX EXPENSE</w:t>
            </w:r>
          </w:p>
        </w:tc>
        <w:tc>
          <w:tcPr>
            <w:tcW w:w="61" w:type="pct"/>
            <w:tcBorders>
              <w:top w:val="nil"/>
              <w:left w:val="nil"/>
              <w:bottom w:val="nil"/>
              <w:right w:val="nil"/>
            </w:tcBorders>
            <w:shd w:val="clear" w:color="auto" w:fill="FFFFFF"/>
            <w:vAlign w:val="bottom"/>
          </w:tcPr>
          <w:p w14:paraId="2C7473F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0A92BB3B"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FFFFFF"/>
            <w:vAlign w:val="bottom"/>
          </w:tcPr>
          <w:p w14:paraId="3A2585C0" w14:textId="77777777" w:rsidR="00553543" w:rsidRDefault="00584985">
            <w:pPr>
              <w:keepNext/>
              <w:pBdr>
                <w:top w:val="nil"/>
                <w:left w:val="nil"/>
                <w:bottom w:val="nil"/>
                <w:right w:val="nil"/>
                <w:between w:val="nil"/>
                <w:bar w:val="nil"/>
              </w:pBdr>
              <w:jc w:val="right"/>
              <w:rPr>
                <w:color w:val="000000"/>
              </w:rPr>
            </w:pPr>
            <w:r>
              <w:rPr>
                <w:color w:val="000000"/>
              </w:rPr>
              <w:t>419</w:t>
            </w:r>
          </w:p>
        </w:tc>
        <w:tc>
          <w:tcPr>
            <w:tcW w:w="50" w:type="pct"/>
            <w:tcBorders>
              <w:top w:val="nil"/>
              <w:left w:val="nil"/>
              <w:bottom w:val="nil"/>
              <w:right w:val="nil"/>
            </w:tcBorders>
            <w:shd w:val="clear" w:color="auto" w:fill="FFFFFF"/>
            <w:vAlign w:val="bottom"/>
          </w:tcPr>
          <w:p w14:paraId="4C88DCE2"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398EA48A"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304B2530"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single" w:sz="4" w:space="0" w:color="000000"/>
              <w:right w:val="nil"/>
            </w:tcBorders>
            <w:shd w:val="clear" w:color="auto" w:fill="FFFFFF"/>
            <w:vAlign w:val="bottom"/>
          </w:tcPr>
          <w:p w14:paraId="4DDE8139" w14:textId="77777777" w:rsidR="00553543" w:rsidRDefault="00584985">
            <w:pPr>
              <w:keepNext/>
              <w:pBdr>
                <w:top w:val="nil"/>
                <w:left w:val="nil"/>
                <w:bottom w:val="nil"/>
                <w:right w:val="nil"/>
                <w:between w:val="nil"/>
                <w:bar w:val="nil"/>
              </w:pBdr>
              <w:jc w:val="right"/>
              <w:rPr>
                <w:color w:val="000000"/>
              </w:rPr>
            </w:pPr>
            <w:r>
              <w:rPr>
                <w:color w:val="000000"/>
              </w:rPr>
              <w:t>579</w:t>
            </w:r>
          </w:p>
        </w:tc>
        <w:tc>
          <w:tcPr>
            <w:tcW w:w="50" w:type="pct"/>
            <w:tcBorders>
              <w:top w:val="nil"/>
              <w:left w:val="nil"/>
              <w:bottom w:val="nil"/>
              <w:right w:val="nil"/>
            </w:tcBorders>
            <w:shd w:val="clear" w:color="auto" w:fill="FFFFFF"/>
            <w:vAlign w:val="bottom"/>
          </w:tcPr>
          <w:p w14:paraId="6C1038ED"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4564D867"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48CECE72" w14:textId="77777777" w:rsidR="00553543" w:rsidRDefault="00553543">
            <w:pPr>
              <w:keepNext/>
              <w:pBdr>
                <w:top w:val="nil"/>
                <w:left w:val="nil"/>
                <w:bottom w:val="nil"/>
                <w:right w:val="nil"/>
                <w:between w:val="nil"/>
                <w:bar w:val="nil"/>
              </w:pBdr>
              <w:rPr>
                <w:color w:val="000000"/>
              </w:rPr>
            </w:pPr>
          </w:p>
        </w:tc>
        <w:tc>
          <w:tcPr>
            <w:tcW w:w="562" w:type="pct"/>
            <w:tcBorders>
              <w:top w:val="nil"/>
              <w:left w:val="nil"/>
              <w:bottom w:val="single" w:sz="4" w:space="0" w:color="000000"/>
              <w:right w:val="nil"/>
            </w:tcBorders>
            <w:shd w:val="clear" w:color="auto" w:fill="FFFFFF"/>
            <w:vAlign w:val="bottom"/>
          </w:tcPr>
          <w:p w14:paraId="40D2BBE3" w14:textId="77777777" w:rsidR="00553543" w:rsidRDefault="00584985">
            <w:pPr>
              <w:keepNext/>
              <w:pBdr>
                <w:top w:val="nil"/>
                <w:left w:val="nil"/>
                <w:bottom w:val="nil"/>
                <w:right w:val="nil"/>
                <w:between w:val="nil"/>
                <w:bar w:val="nil"/>
              </w:pBdr>
              <w:jc w:val="right"/>
              <w:rPr>
                <w:color w:val="000000"/>
              </w:rPr>
            </w:pPr>
            <w:r>
              <w:rPr>
                <w:color w:val="000000"/>
              </w:rPr>
              <w:t>(160</w:t>
            </w:r>
          </w:p>
        </w:tc>
        <w:tc>
          <w:tcPr>
            <w:tcW w:w="50" w:type="pct"/>
            <w:tcBorders>
              <w:top w:val="nil"/>
              <w:left w:val="nil"/>
              <w:bottom w:val="nil"/>
              <w:right w:val="nil"/>
            </w:tcBorders>
            <w:shd w:val="clear" w:color="auto" w:fill="FFFFFF"/>
            <w:vAlign w:val="bottom"/>
          </w:tcPr>
          <w:p w14:paraId="6F7ED073"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FFFFFF"/>
            <w:vAlign w:val="bottom"/>
          </w:tcPr>
          <w:p w14:paraId="6F0FB593"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single" w:sz="4" w:space="0" w:color="000000"/>
              <w:right w:val="nil"/>
            </w:tcBorders>
            <w:shd w:val="clear" w:color="auto" w:fill="FFFFFF"/>
            <w:vAlign w:val="bottom"/>
          </w:tcPr>
          <w:p w14:paraId="48B5B486" w14:textId="77777777" w:rsidR="00553543" w:rsidRDefault="00553543">
            <w:pPr>
              <w:keepNext/>
              <w:pBdr>
                <w:top w:val="nil"/>
                <w:left w:val="nil"/>
                <w:bottom w:val="nil"/>
                <w:right w:val="nil"/>
                <w:between w:val="nil"/>
                <w:bar w:val="nil"/>
              </w:pBdr>
              <w:rPr>
                <w:color w:val="000000"/>
              </w:rPr>
            </w:pPr>
          </w:p>
        </w:tc>
        <w:tc>
          <w:tcPr>
            <w:tcW w:w="521" w:type="pct"/>
            <w:tcBorders>
              <w:top w:val="nil"/>
              <w:left w:val="nil"/>
              <w:bottom w:val="single" w:sz="4" w:space="0" w:color="000000"/>
              <w:right w:val="nil"/>
            </w:tcBorders>
            <w:shd w:val="clear" w:color="auto" w:fill="FFFFFF"/>
            <w:vAlign w:val="bottom"/>
          </w:tcPr>
          <w:p w14:paraId="7DDB56B6" w14:textId="77777777" w:rsidR="00553543" w:rsidRDefault="00584985">
            <w:pPr>
              <w:keepNext/>
              <w:pBdr>
                <w:top w:val="nil"/>
                <w:left w:val="nil"/>
                <w:bottom w:val="nil"/>
                <w:right w:val="nil"/>
                <w:between w:val="nil"/>
                <w:bar w:val="nil"/>
              </w:pBdr>
              <w:jc w:val="right"/>
              <w:rPr>
                <w:color w:val="000000"/>
              </w:rPr>
            </w:pPr>
            <w:r>
              <w:rPr>
                <w:color w:val="000000"/>
              </w:rPr>
              <w:t>(28</w:t>
            </w:r>
          </w:p>
        </w:tc>
        <w:tc>
          <w:tcPr>
            <w:tcW w:w="124" w:type="pct"/>
            <w:tcBorders>
              <w:top w:val="nil"/>
              <w:left w:val="nil"/>
              <w:bottom w:val="nil"/>
              <w:right w:val="nil"/>
            </w:tcBorders>
            <w:shd w:val="clear" w:color="auto" w:fill="FFFFFF"/>
            <w:vAlign w:val="bottom"/>
          </w:tcPr>
          <w:p w14:paraId="629A82BF"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7ED22DE9" w14:textId="77777777">
        <w:trPr>
          <w:jc w:val="center"/>
        </w:trPr>
        <w:tc>
          <w:tcPr>
            <w:tcW w:w="2027" w:type="pct"/>
            <w:tcBorders>
              <w:top w:val="nil"/>
              <w:left w:val="nil"/>
              <w:bottom w:val="nil"/>
              <w:right w:val="nil"/>
            </w:tcBorders>
            <w:shd w:val="clear" w:color="auto" w:fill="CFF0FC"/>
          </w:tcPr>
          <w:p w14:paraId="1C440B4C" w14:textId="77777777" w:rsidR="00553543" w:rsidRDefault="00584985">
            <w:pPr>
              <w:keepNext/>
              <w:pBdr>
                <w:top w:val="nil"/>
                <w:left w:val="nil"/>
                <w:bottom w:val="nil"/>
                <w:right w:val="nil"/>
                <w:between w:val="nil"/>
                <w:bar w:val="nil"/>
              </w:pBdr>
              <w:rPr>
                <w:color w:val="000000"/>
              </w:rPr>
            </w:pPr>
            <w:r>
              <w:rPr>
                <w:color w:val="000000"/>
              </w:rPr>
              <w:t>Net income</w:t>
            </w:r>
          </w:p>
        </w:tc>
        <w:tc>
          <w:tcPr>
            <w:tcW w:w="61" w:type="pct"/>
            <w:tcBorders>
              <w:top w:val="nil"/>
              <w:left w:val="nil"/>
              <w:bottom w:val="nil"/>
              <w:right w:val="nil"/>
            </w:tcBorders>
            <w:shd w:val="clear" w:color="auto" w:fill="CFF0FC"/>
            <w:vAlign w:val="bottom"/>
          </w:tcPr>
          <w:p w14:paraId="797220B9"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2A5E494D"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single" w:sz="4" w:space="0" w:color="000000"/>
              <w:left w:val="nil"/>
              <w:bottom w:val="double" w:sz="6" w:space="0" w:color="000000"/>
              <w:right w:val="nil"/>
            </w:tcBorders>
            <w:shd w:val="clear" w:color="auto" w:fill="CFF0FC"/>
            <w:vAlign w:val="bottom"/>
          </w:tcPr>
          <w:p w14:paraId="7E2EDE9E" w14:textId="77777777" w:rsidR="00553543" w:rsidRDefault="00584985">
            <w:pPr>
              <w:keepNext/>
              <w:pBdr>
                <w:top w:val="nil"/>
                <w:left w:val="nil"/>
                <w:bottom w:val="nil"/>
                <w:right w:val="nil"/>
                <w:between w:val="nil"/>
                <w:bar w:val="nil"/>
              </w:pBdr>
              <w:jc w:val="right"/>
              <w:rPr>
                <w:color w:val="000000"/>
              </w:rPr>
            </w:pPr>
            <w:r>
              <w:rPr>
                <w:color w:val="000000"/>
              </w:rPr>
              <w:t>15,271</w:t>
            </w:r>
          </w:p>
        </w:tc>
        <w:tc>
          <w:tcPr>
            <w:tcW w:w="50" w:type="pct"/>
            <w:tcBorders>
              <w:top w:val="nil"/>
              <w:left w:val="nil"/>
              <w:bottom w:val="nil"/>
              <w:right w:val="nil"/>
            </w:tcBorders>
            <w:shd w:val="clear" w:color="auto" w:fill="CFF0FC"/>
            <w:vAlign w:val="bottom"/>
          </w:tcPr>
          <w:p w14:paraId="671F56D2"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3852A735"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55E56BD4"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single" w:sz="4" w:space="0" w:color="000000"/>
              <w:left w:val="nil"/>
              <w:bottom w:val="double" w:sz="6" w:space="0" w:color="000000"/>
              <w:right w:val="nil"/>
            </w:tcBorders>
            <w:shd w:val="clear" w:color="auto" w:fill="CFF0FC"/>
            <w:vAlign w:val="bottom"/>
          </w:tcPr>
          <w:p w14:paraId="5D667A1B" w14:textId="77777777" w:rsidR="00553543" w:rsidRDefault="00584985">
            <w:pPr>
              <w:keepNext/>
              <w:pBdr>
                <w:top w:val="nil"/>
                <w:left w:val="nil"/>
                <w:bottom w:val="nil"/>
                <w:right w:val="nil"/>
                <w:between w:val="nil"/>
                <w:bar w:val="nil"/>
              </w:pBdr>
              <w:jc w:val="right"/>
              <w:rPr>
                <w:color w:val="000000"/>
              </w:rPr>
            </w:pPr>
            <w:r>
              <w:rPr>
                <w:color w:val="000000"/>
              </w:rPr>
              <w:t>21,166</w:t>
            </w:r>
          </w:p>
        </w:tc>
        <w:tc>
          <w:tcPr>
            <w:tcW w:w="50" w:type="pct"/>
            <w:tcBorders>
              <w:top w:val="nil"/>
              <w:left w:val="nil"/>
              <w:bottom w:val="nil"/>
              <w:right w:val="nil"/>
            </w:tcBorders>
            <w:shd w:val="clear" w:color="auto" w:fill="CFF0FC"/>
            <w:vAlign w:val="bottom"/>
          </w:tcPr>
          <w:p w14:paraId="3F6752B2"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79DC5E49"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161A1EBE" w14:textId="77777777" w:rsidR="00553543" w:rsidRDefault="00584985">
            <w:pPr>
              <w:keepNext/>
              <w:pBdr>
                <w:top w:val="nil"/>
                <w:left w:val="nil"/>
                <w:bottom w:val="nil"/>
                <w:right w:val="nil"/>
                <w:between w:val="nil"/>
                <w:bar w:val="nil"/>
              </w:pBdr>
              <w:rPr>
                <w:color w:val="000000"/>
              </w:rPr>
            </w:pPr>
            <w:r>
              <w:rPr>
                <w:color w:val="000000"/>
              </w:rPr>
              <w:t>$</w:t>
            </w:r>
          </w:p>
        </w:tc>
        <w:tc>
          <w:tcPr>
            <w:tcW w:w="562" w:type="pct"/>
            <w:tcBorders>
              <w:top w:val="single" w:sz="4" w:space="0" w:color="000000"/>
              <w:left w:val="nil"/>
              <w:bottom w:val="double" w:sz="6" w:space="0" w:color="000000"/>
              <w:right w:val="nil"/>
            </w:tcBorders>
            <w:shd w:val="clear" w:color="auto" w:fill="CFF0FC"/>
            <w:vAlign w:val="bottom"/>
          </w:tcPr>
          <w:p w14:paraId="031A1B32" w14:textId="77777777" w:rsidR="00553543" w:rsidRDefault="00584985">
            <w:pPr>
              <w:keepNext/>
              <w:pBdr>
                <w:top w:val="nil"/>
                <w:left w:val="nil"/>
                <w:bottom w:val="nil"/>
                <w:right w:val="nil"/>
                <w:between w:val="nil"/>
                <w:bar w:val="nil"/>
              </w:pBdr>
              <w:jc w:val="right"/>
              <w:rPr>
                <w:color w:val="000000"/>
              </w:rPr>
            </w:pPr>
            <w:r>
              <w:rPr>
                <w:color w:val="000000"/>
              </w:rPr>
              <w:t>(5,895</w:t>
            </w:r>
          </w:p>
        </w:tc>
        <w:tc>
          <w:tcPr>
            <w:tcW w:w="50" w:type="pct"/>
            <w:tcBorders>
              <w:top w:val="nil"/>
              <w:left w:val="nil"/>
              <w:bottom w:val="nil"/>
              <w:right w:val="nil"/>
            </w:tcBorders>
            <w:shd w:val="clear" w:color="auto" w:fill="CFF0FC"/>
            <w:vAlign w:val="bottom"/>
          </w:tcPr>
          <w:p w14:paraId="1B91FB2C" w14:textId="77777777" w:rsidR="00553543" w:rsidRDefault="00584985">
            <w:pPr>
              <w:keepNext/>
              <w:pBdr>
                <w:top w:val="nil"/>
                <w:left w:val="nil"/>
                <w:bottom w:val="nil"/>
                <w:right w:val="nil"/>
                <w:between w:val="nil"/>
                <w:bar w:val="nil"/>
              </w:pBdr>
              <w:rPr>
                <w:color w:val="000000"/>
              </w:rPr>
            </w:pPr>
            <w:r>
              <w:rPr>
                <w:color w:val="000000"/>
              </w:rPr>
              <w:t>)</w:t>
            </w:r>
          </w:p>
        </w:tc>
        <w:tc>
          <w:tcPr>
            <w:tcW w:w="50" w:type="pct"/>
            <w:tcBorders>
              <w:top w:val="nil"/>
              <w:left w:val="nil"/>
              <w:bottom w:val="nil"/>
              <w:right w:val="nil"/>
            </w:tcBorders>
            <w:shd w:val="clear" w:color="auto" w:fill="CFF0FC"/>
            <w:vAlign w:val="bottom"/>
          </w:tcPr>
          <w:p w14:paraId="4A5D8EB1"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double" w:sz="6" w:space="0" w:color="000000"/>
              <w:right w:val="nil"/>
            </w:tcBorders>
            <w:shd w:val="clear" w:color="auto" w:fill="CFF0FC"/>
            <w:vAlign w:val="bottom"/>
          </w:tcPr>
          <w:p w14:paraId="023806A1" w14:textId="77777777" w:rsidR="00553543" w:rsidRDefault="00553543">
            <w:pPr>
              <w:keepNext/>
              <w:pBdr>
                <w:top w:val="nil"/>
                <w:left w:val="nil"/>
                <w:bottom w:val="nil"/>
                <w:right w:val="nil"/>
                <w:between w:val="nil"/>
                <w:bar w:val="nil"/>
              </w:pBdr>
              <w:rPr>
                <w:color w:val="000000"/>
              </w:rPr>
            </w:pPr>
          </w:p>
        </w:tc>
        <w:tc>
          <w:tcPr>
            <w:tcW w:w="521" w:type="pct"/>
            <w:tcBorders>
              <w:top w:val="single" w:sz="4" w:space="0" w:color="000000"/>
              <w:left w:val="nil"/>
              <w:bottom w:val="double" w:sz="6" w:space="0" w:color="000000"/>
              <w:right w:val="nil"/>
            </w:tcBorders>
            <w:shd w:val="clear" w:color="auto" w:fill="CFF0FC"/>
            <w:vAlign w:val="bottom"/>
          </w:tcPr>
          <w:p w14:paraId="3A62F84D" w14:textId="77777777" w:rsidR="00553543" w:rsidRDefault="00584985">
            <w:pPr>
              <w:keepNext/>
              <w:pBdr>
                <w:top w:val="nil"/>
                <w:left w:val="nil"/>
                <w:bottom w:val="nil"/>
                <w:right w:val="nil"/>
                <w:between w:val="nil"/>
                <w:bar w:val="nil"/>
              </w:pBdr>
              <w:jc w:val="right"/>
              <w:rPr>
                <w:color w:val="000000"/>
              </w:rPr>
            </w:pPr>
            <w:r>
              <w:rPr>
                <w:color w:val="000000"/>
              </w:rPr>
              <w:t>(28</w:t>
            </w:r>
          </w:p>
        </w:tc>
        <w:tc>
          <w:tcPr>
            <w:tcW w:w="124" w:type="pct"/>
            <w:tcBorders>
              <w:top w:val="nil"/>
              <w:left w:val="nil"/>
              <w:bottom w:val="nil"/>
              <w:right w:val="nil"/>
            </w:tcBorders>
            <w:shd w:val="clear" w:color="auto" w:fill="CFF0FC"/>
            <w:vAlign w:val="bottom"/>
          </w:tcPr>
          <w:p w14:paraId="01DC6318"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5BA936BE" w14:textId="77777777">
        <w:trPr>
          <w:jc w:val="center"/>
        </w:trPr>
        <w:tc>
          <w:tcPr>
            <w:tcW w:w="2027" w:type="pct"/>
            <w:tcBorders>
              <w:top w:val="nil"/>
              <w:left w:val="nil"/>
              <w:bottom w:val="nil"/>
              <w:right w:val="nil"/>
            </w:tcBorders>
            <w:shd w:val="clear" w:color="auto" w:fill="FFFFFF"/>
          </w:tcPr>
          <w:p w14:paraId="60384B91" w14:textId="77777777" w:rsidR="00553543" w:rsidRDefault="00584985">
            <w:pPr>
              <w:keepNext/>
              <w:pBdr>
                <w:top w:val="nil"/>
                <w:left w:val="nil"/>
                <w:bottom w:val="nil"/>
                <w:right w:val="nil"/>
                <w:between w:val="nil"/>
                <w:bar w:val="nil"/>
              </w:pBdr>
              <w:rPr>
                <w:color w:val="000000"/>
              </w:rPr>
            </w:pPr>
            <w:r>
              <w:rPr>
                <w:color w:val="000000"/>
              </w:rPr>
              <w:t>Net income per share:</w:t>
            </w:r>
          </w:p>
        </w:tc>
        <w:tc>
          <w:tcPr>
            <w:tcW w:w="61" w:type="pct"/>
            <w:tcBorders>
              <w:top w:val="nil"/>
              <w:left w:val="nil"/>
              <w:bottom w:val="nil"/>
              <w:right w:val="nil"/>
            </w:tcBorders>
            <w:shd w:val="clear" w:color="auto" w:fill="FFFFFF"/>
            <w:vAlign w:val="bottom"/>
          </w:tcPr>
          <w:p w14:paraId="6AB7D742" w14:textId="77777777" w:rsidR="00553543" w:rsidRDefault="00553543">
            <w:pPr>
              <w:keepNext/>
              <w:pBdr>
                <w:top w:val="nil"/>
                <w:left w:val="nil"/>
                <w:bottom w:val="nil"/>
                <w:right w:val="nil"/>
                <w:between w:val="nil"/>
                <w:bar w:val="nil"/>
              </w:pBdr>
              <w:rPr>
                <w:color w:val="000000"/>
              </w:rPr>
            </w:pPr>
          </w:p>
        </w:tc>
        <w:tc>
          <w:tcPr>
            <w:tcW w:w="0" w:type="auto"/>
            <w:gridSpan w:val="2"/>
            <w:tcBorders>
              <w:top w:val="double" w:sz="6" w:space="0" w:color="000000"/>
              <w:left w:val="nil"/>
              <w:bottom w:val="nil"/>
              <w:right w:val="nil"/>
            </w:tcBorders>
            <w:shd w:val="clear" w:color="auto" w:fill="FFFFFF"/>
            <w:vAlign w:val="bottom"/>
          </w:tcPr>
          <w:p w14:paraId="29C9FA29"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448EC20C" w14:textId="77777777" w:rsidR="00553543" w:rsidRDefault="00553543">
            <w:pPr>
              <w:keepNext/>
              <w:pBdr>
                <w:top w:val="nil"/>
                <w:left w:val="nil"/>
                <w:bottom w:val="nil"/>
                <w:right w:val="nil"/>
                <w:between w:val="nil"/>
                <w:bar w:val="nil"/>
              </w:pBdr>
              <w:jc w:val="right"/>
              <w:rPr>
                <w:color w:val="000000"/>
              </w:rPr>
            </w:pPr>
          </w:p>
        </w:tc>
        <w:tc>
          <w:tcPr>
            <w:tcW w:w="73" w:type="pct"/>
            <w:tcBorders>
              <w:top w:val="nil"/>
              <w:left w:val="nil"/>
              <w:bottom w:val="nil"/>
              <w:right w:val="nil"/>
            </w:tcBorders>
            <w:shd w:val="clear" w:color="auto" w:fill="FFFFFF"/>
            <w:vAlign w:val="bottom"/>
          </w:tcPr>
          <w:p w14:paraId="33B72751" w14:textId="77777777" w:rsidR="00553543" w:rsidRDefault="00553543">
            <w:pPr>
              <w:keepNext/>
              <w:pBdr>
                <w:top w:val="nil"/>
                <w:left w:val="nil"/>
                <w:bottom w:val="nil"/>
                <w:right w:val="nil"/>
                <w:between w:val="nil"/>
                <w:bar w:val="nil"/>
              </w:pBdr>
              <w:rPr>
                <w:color w:val="000000"/>
              </w:rPr>
            </w:pPr>
          </w:p>
        </w:tc>
        <w:tc>
          <w:tcPr>
            <w:tcW w:w="0" w:type="auto"/>
            <w:gridSpan w:val="2"/>
            <w:tcBorders>
              <w:top w:val="double" w:sz="6" w:space="0" w:color="000000"/>
              <w:left w:val="nil"/>
              <w:bottom w:val="nil"/>
              <w:right w:val="nil"/>
            </w:tcBorders>
            <w:shd w:val="clear" w:color="auto" w:fill="FFFFFF"/>
            <w:vAlign w:val="bottom"/>
          </w:tcPr>
          <w:p w14:paraId="146C29EB"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1490C788" w14:textId="77777777" w:rsidR="00553543" w:rsidRDefault="00553543">
            <w:pPr>
              <w:keepNext/>
              <w:pBdr>
                <w:top w:val="nil"/>
                <w:left w:val="nil"/>
                <w:bottom w:val="nil"/>
                <w:right w:val="nil"/>
                <w:between w:val="nil"/>
                <w:bar w:val="nil"/>
              </w:pBdr>
              <w:jc w:val="right"/>
              <w:rPr>
                <w:color w:val="000000"/>
              </w:rPr>
            </w:pPr>
          </w:p>
        </w:tc>
        <w:tc>
          <w:tcPr>
            <w:tcW w:w="85" w:type="pct"/>
            <w:tcBorders>
              <w:top w:val="nil"/>
              <w:left w:val="nil"/>
              <w:bottom w:val="nil"/>
              <w:right w:val="nil"/>
            </w:tcBorders>
            <w:shd w:val="clear" w:color="auto" w:fill="FFFFFF"/>
            <w:vAlign w:val="bottom"/>
          </w:tcPr>
          <w:p w14:paraId="114377DD" w14:textId="77777777" w:rsidR="00553543" w:rsidRDefault="00553543">
            <w:pPr>
              <w:keepNext/>
              <w:pBdr>
                <w:top w:val="nil"/>
                <w:left w:val="nil"/>
                <w:bottom w:val="nil"/>
                <w:right w:val="nil"/>
                <w:between w:val="nil"/>
                <w:bar w:val="nil"/>
              </w:pBdr>
              <w:rPr>
                <w:color w:val="000000"/>
              </w:rPr>
            </w:pPr>
          </w:p>
        </w:tc>
        <w:tc>
          <w:tcPr>
            <w:tcW w:w="0" w:type="auto"/>
            <w:gridSpan w:val="2"/>
            <w:tcBorders>
              <w:top w:val="double" w:sz="6" w:space="0" w:color="000000"/>
              <w:left w:val="nil"/>
              <w:bottom w:val="nil"/>
              <w:right w:val="nil"/>
            </w:tcBorders>
            <w:shd w:val="clear" w:color="auto" w:fill="FFFFFF"/>
            <w:vAlign w:val="bottom"/>
          </w:tcPr>
          <w:p w14:paraId="645A0963"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6D270C54"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0E10EBE7" w14:textId="77777777" w:rsidR="00553543" w:rsidRDefault="00553543">
            <w:pPr>
              <w:keepNext/>
              <w:pBdr>
                <w:top w:val="nil"/>
                <w:left w:val="nil"/>
                <w:bottom w:val="nil"/>
                <w:right w:val="nil"/>
                <w:between w:val="nil"/>
                <w:bar w:val="nil"/>
              </w:pBdr>
              <w:rPr>
                <w:color w:val="000000"/>
              </w:rPr>
            </w:pPr>
          </w:p>
        </w:tc>
        <w:tc>
          <w:tcPr>
            <w:tcW w:w="0" w:type="auto"/>
            <w:gridSpan w:val="2"/>
            <w:tcBorders>
              <w:top w:val="double" w:sz="6" w:space="0" w:color="000000"/>
              <w:left w:val="nil"/>
              <w:bottom w:val="nil"/>
              <w:right w:val="nil"/>
            </w:tcBorders>
            <w:shd w:val="clear" w:color="auto" w:fill="FFFFFF"/>
            <w:vAlign w:val="bottom"/>
          </w:tcPr>
          <w:p w14:paraId="3A36BA49"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FFFFFF"/>
            <w:vAlign w:val="bottom"/>
          </w:tcPr>
          <w:p w14:paraId="6095534A" w14:textId="77777777" w:rsidR="00553543" w:rsidRDefault="00553543">
            <w:pPr>
              <w:keepNext/>
              <w:pBdr>
                <w:top w:val="nil"/>
                <w:left w:val="nil"/>
                <w:bottom w:val="nil"/>
                <w:right w:val="nil"/>
                <w:between w:val="nil"/>
                <w:bar w:val="nil"/>
              </w:pBdr>
              <w:jc w:val="right"/>
              <w:rPr>
                <w:color w:val="000000"/>
              </w:rPr>
            </w:pPr>
          </w:p>
        </w:tc>
      </w:tr>
      <w:tr w:rsidR="00553543" w14:paraId="2F8A2725" w14:textId="77777777">
        <w:trPr>
          <w:jc w:val="center"/>
        </w:trPr>
        <w:tc>
          <w:tcPr>
            <w:tcW w:w="2027" w:type="pct"/>
            <w:tcBorders>
              <w:top w:val="nil"/>
              <w:left w:val="nil"/>
              <w:bottom w:val="nil"/>
              <w:right w:val="nil"/>
            </w:tcBorders>
            <w:shd w:val="clear" w:color="auto" w:fill="CFF0FC"/>
          </w:tcPr>
          <w:p w14:paraId="05A5F058" w14:textId="77777777" w:rsidR="00553543" w:rsidRDefault="00584985">
            <w:pPr>
              <w:keepNext/>
              <w:pBdr>
                <w:top w:val="nil"/>
                <w:left w:val="nil"/>
                <w:bottom w:val="nil"/>
                <w:right w:val="nil"/>
                <w:between w:val="nil"/>
                <w:bar w:val="nil"/>
              </w:pBdr>
              <w:ind w:left="200"/>
              <w:rPr>
                <w:color w:val="000000"/>
              </w:rPr>
            </w:pPr>
            <w:r>
              <w:rPr>
                <w:color w:val="000000"/>
              </w:rPr>
              <w:t>Basic</w:t>
            </w:r>
          </w:p>
        </w:tc>
        <w:tc>
          <w:tcPr>
            <w:tcW w:w="61" w:type="pct"/>
            <w:tcBorders>
              <w:top w:val="nil"/>
              <w:left w:val="nil"/>
              <w:bottom w:val="nil"/>
              <w:right w:val="nil"/>
            </w:tcBorders>
            <w:shd w:val="clear" w:color="auto" w:fill="CFF0FC"/>
            <w:vAlign w:val="bottom"/>
          </w:tcPr>
          <w:p w14:paraId="4A0200DD"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49E7EE29"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CFF0FC"/>
            <w:vAlign w:val="bottom"/>
          </w:tcPr>
          <w:p w14:paraId="61A8667F" w14:textId="77777777" w:rsidR="00553543" w:rsidRDefault="00584985">
            <w:pPr>
              <w:keepNext/>
              <w:pBdr>
                <w:top w:val="nil"/>
                <w:left w:val="nil"/>
                <w:bottom w:val="nil"/>
                <w:right w:val="nil"/>
                <w:between w:val="nil"/>
                <w:bar w:val="nil"/>
              </w:pBdr>
              <w:jc w:val="right"/>
              <w:rPr>
                <w:color w:val="000000"/>
              </w:rPr>
            </w:pPr>
            <w:r>
              <w:rPr>
                <w:color w:val="000000"/>
              </w:rPr>
              <w:t>0.15</w:t>
            </w:r>
          </w:p>
        </w:tc>
        <w:tc>
          <w:tcPr>
            <w:tcW w:w="50" w:type="pct"/>
            <w:tcBorders>
              <w:top w:val="nil"/>
              <w:left w:val="nil"/>
              <w:bottom w:val="nil"/>
              <w:right w:val="nil"/>
            </w:tcBorders>
            <w:shd w:val="clear" w:color="auto" w:fill="CFF0FC"/>
            <w:vAlign w:val="bottom"/>
          </w:tcPr>
          <w:p w14:paraId="1470FA8B"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4D486942"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6DFADCBE"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CFF0FC"/>
            <w:vAlign w:val="bottom"/>
          </w:tcPr>
          <w:p w14:paraId="4BF36813" w14:textId="77777777" w:rsidR="00553543" w:rsidRDefault="00584985">
            <w:pPr>
              <w:keepNext/>
              <w:pBdr>
                <w:top w:val="nil"/>
                <w:left w:val="nil"/>
                <w:bottom w:val="nil"/>
                <w:right w:val="nil"/>
                <w:between w:val="nil"/>
                <w:bar w:val="nil"/>
              </w:pBdr>
              <w:jc w:val="right"/>
              <w:rPr>
                <w:color w:val="000000"/>
              </w:rPr>
            </w:pPr>
            <w:r>
              <w:rPr>
                <w:color w:val="000000"/>
              </w:rPr>
              <w:t>0.21</w:t>
            </w:r>
          </w:p>
        </w:tc>
        <w:tc>
          <w:tcPr>
            <w:tcW w:w="50" w:type="pct"/>
            <w:tcBorders>
              <w:top w:val="nil"/>
              <w:left w:val="nil"/>
              <w:bottom w:val="nil"/>
              <w:right w:val="nil"/>
            </w:tcBorders>
            <w:shd w:val="clear" w:color="auto" w:fill="CFF0FC"/>
            <w:vAlign w:val="bottom"/>
          </w:tcPr>
          <w:p w14:paraId="53EC6EE7"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30677121"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0B6BD755"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43309146"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39420984"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3573D3B0"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378CCC66" w14:textId="77777777" w:rsidR="00553543" w:rsidRDefault="00553543">
            <w:pPr>
              <w:keepNext/>
              <w:pBdr>
                <w:top w:val="nil"/>
                <w:left w:val="nil"/>
                <w:bottom w:val="nil"/>
                <w:right w:val="nil"/>
                <w:between w:val="nil"/>
                <w:bar w:val="nil"/>
              </w:pBdr>
              <w:jc w:val="right"/>
              <w:rPr>
                <w:color w:val="000000"/>
              </w:rPr>
            </w:pPr>
          </w:p>
        </w:tc>
      </w:tr>
      <w:tr w:rsidR="00553543" w14:paraId="5385984A" w14:textId="77777777">
        <w:trPr>
          <w:jc w:val="center"/>
        </w:trPr>
        <w:tc>
          <w:tcPr>
            <w:tcW w:w="2027" w:type="pct"/>
            <w:tcBorders>
              <w:top w:val="nil"/>
              <w:left w:val="nil"/>
              <w:bottom w:val="nil"/>
              <w:right w:val="nil"/>
            </w:tcBorders>
            <w:shd w:val="clear" w:color="auto" w:fill="FFFFFF"/>
          </w:tcPr>
          <w:p w14:paraId="620C71DC" w14:textId="77777777" w:rsidR="00553543" w:rsidRDefault="00584985">
            <w:pPr>
              <w:keepNext/>
              <w:pBdr>
                <w:top w:val="nil"/>
                <w:left w:val="nil"/>
                <w:bottom w:val="nil"/>
                <w:right w:val="nil"/>
                <w:between w:val="nil"/>
                <w:bar w:val="nil"/>
              </w:pBdr>
              <w:ind w:left="200"/>
              <w:rPr>
                <w:color w:val="000000"/>
              </w:rPr>
            </w:pPr>
            <w:r>
              <w:rPr>
                <w:color w:val="000000"/>
              </w:rPr>
              <w:t>Diluted (1)</w:t>
            </w:r>
          </w:p>
        </w:tc>
        <w:tc>
          <w:tcPr>
            <w:tcW w:w="61" w:type="pct"/>
            <w:tcBorders>
              <w:top w:val="nil"/>
              <w:left w:val="nil"/>
              <w:bottom w:val="nil"/>
              <w:right w:val="nil"/>
            </w:tcBorders>
            <w:shd w:val="clear" w:color="auto" w:fill="FFFFFF"/>
            <w:vAlign w:val="bottom"/>
          </w:tcPr>
          <w:p w14:paraId="1278E056"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42430DCC"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FFFFFF"/>
            <w:vAlign w:val="bottom"/>
          </w:tcPr>
          <w:p w14:paraId="21751AAF" w14:textId="77777777" w:rsidR="00553543" w:rsidRDefault="00584985">
            <w:pPr>
              <w:keepNext/>
              <w:pBdr>
                <w:top w:val="nil"/>
                <w:left w:val="nil"/>
                <w:bottom w:val="nil"/>
                <w:right w:val="nil"/>
                <w:between w:val="nil"/>
                <w:bar w:val="nil"/>
              </w:pBdr>
              <w:jc w:val="right"/>
              <w:rPr>
                <w:color w:val="000000"/>
              </w:rPr>
            </w:pPr>
            <w:r>
              <w:rPr>
                <w:color w:val="000000"/>
              </w:rPr>
              <w:t>0.15</w:t>
            </w:r>
          </w:p>
        </w:tc>
        <w:tc>
          <w:tcPr>
            <w:tcW w:w="50" w:type="pct"/>
            <w:tcBorders>
              <w:top w:val="nil"/>
              <w:left w:val="nil"/>
              <w:bottom w:val="nil"/>
              <w:right w:val="nil"/>
            </w:tcBorders>
            <w:shd w:val="clear" w:color="auto" w:fill="FFFFFF"/>
            <w:vAlign w:val="bottom"/>
          </w:tcPr>
          <w:p w14:paraId="248D81AB"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63B44BA5"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16C6E092" w14:textId="77777777" w:rsidR="00553543" w:rsidRDefault="00584985">
            <w:pPr>
              <w:keepNext/>
              <w:pBdr>
                <w:top w:val="nil"/>
                <w:left w:val="nil"/>
                <w:bottom w:val="nil"/>
                <w:right w:val="nil"/>
                <w:between w:val="nil"/>
                <w:bar w:val="nil"/>
              </w:pBdr>
              <w:rPr>
                <w:color w:val="000000"/>
              </w:rPr>
            </w:pPr>
            <w:r>
              <w:rPr>
                <w:color w:val="000000"/>
              </w:rPr>
              <w:t>$</w:t>
            </w:r>
          </w:p>
        </w:tc>
        <w:tc>
          <w:tcPr>
            <w:tcW w:w="568" w:type="pct"/>
            <w:tcBorders>
              <w:top w:val="nil"/>
              <w:left w:val="nil"/>
              <w:bottom w:val="nil"/>
              <w:right w:val="nil"/>
            </w:tcBorders>
            <w:shd w:val="clear" w:color="auto" w:fill="FFFFFF"/>
            <w:vAlign w:val="bottom"/>
          </w:tcPr>
          <w:p w14:paraId="66A1FC88" w14:textId="77777777" w:rsidR="00553543" w:rsidRDefault="00584985">
            <w:pPr>
              <w:keepNext/>
              <w:pBdr>
                <w:top w:val="nil"/>
                <w:left w:val="nil"/>
                <w:bottom w:val="nil"/>
                <w:right w:val="nil"/>
                <w:between w:val="nil"/>
                <w:bar w:val="nil"/>
              </w:pBdr>
              <w:jc w:val="right"/>
              <w:rPr>
                <w:color w:val="000000"/>
              </w:rPr>
            </w:pPr>
            <w:r>
              <w:rPr>
                <w:color w:val="000000"/>
              </w:rPr>
              <w:t>0.21</w:t>
            </w:r>
          </w:p>
        </w:tc>
        <w:tc>
          <w:tcPr>
            <w:tcW w:w="50" w:type="pct"/>
            <w:tcBorders>
              <w:top w:val="nil"/>
              <w:left w:val="nil"/>
              <w:bottom w:val="nil"/>
              <w:right w:val="nil"/>
            </w:tcBorders>
            <w:shd w:val="clear" w:color="auto" w:fill="FFFFFF"/>
            <w:vAlign w:val="bottom"/>
          </w:tcPr>
          <w:p w14:paraId="6F61CFC9"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166D3ED1"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FFFFFF"/>
            <w:vAlign w:val="bottom"/>
          </w:tcPr>
          <w:p w14:paraId="780FA7DF"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0BA80EF3"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49523A59"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FFFFFF"/>
            <w:vAlign w:val="bottom"/>
          </w:tcPr>
          <w:p w14:paraId="72953967"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FFFFFF"/>
            <w:vAlign w:val="bottom"/>
          </w:tcPr>
          <w:p w14:paraId="61C812C9" w14:textId="77777777" w:rsidR="00553543" w:rsidRDefault="00553543">
            <w:pPr>
              <w:keepNext/>
              <w:pBdr>
                <w:top w:val="nil"/>
                <w:left w:val="nil"/>
                <w:bottom w:val="nil"/>
                <w:right w:val="nil"/>
                <w:between w:val="nil"/>
                <w:bar w:val="nil"/>
              </w:pBdr>
              <w:jc w:val="right"/>
              <w:rPr>
                <w:color w:val="000000"/>
              </w:rPr>
            </w:pPr>
          </w:p>
        </w:tc>
      </w:tr>
      <w:tr w:rsidR="00553543" w14:paraId="75F7FF53" w14:textId="77777777">
        <w:trPr>
          <w:jc w:val="center"/>
        </w:trPr>
        <w:tc>
          <w:tcPr>
            <w:tcW w:w="2027" w:type="pct"/>
            <w:tcBorders>
              <w:top w:val="nil"/>
              <w:left w:val="nil"/>
              <w:bottom w:val="nil"/>
              <w:right w:val="nil"/>
            </w:tcBorders>
            <w:shd w:val="clear" w:color="auto" w:fill="CFF0FC"/>
          </w:tcPr>
          <w:p w14:paraId="47301E9B" w14:textId="77777777" w:rsidR="00553543" w:rsidRDefault="00584985">
            <w:pPr>
              <w:keepNext/>
              <w:pBdr>
                <w:top w:val="nil"/>
                <w:left w:val="nil"/>
                <w:bottom w:val="nil"/>
                <w:right w:val="nil"/>
                <w:between w:val="nil"/>
                <w:bar w:val="nil"/>
              </w:pBdr>
              <w:rPr>
                <w:color w:val="000000"/>
              </w:rPr>
            </w:pPr>
            <w:r>
              <w:rPr>
                <w:color w:val="000000"/>
              </w:rPr>
              <w:t>Weighted average shares outstanding:</w:t>
            </w:r>
          </w:p>
        </w:tc>
        <w:tc>
          <w:tcPr>
            <w:tcW w:w="61" w:type="pct"/>
            <w:tcBorders>
              <w:top w:val="nil"/>
              <w:left w:val="nil"/>
              <w:bottom w:val="nil"/>
              <w:right w:val="nil"/>
            </w:tcBorders>
            <w:shd w:val="clear" w:color="auto" w:fill="CFF0FC"/>
            <w:vAlign w:val="bottom"/>
          </w:tcPr>
          <w:p w14:paraId="1C130457"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209A43E4"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592B43D7" w14:textId="77777777" w:rsidR="00553543" w:rsidRDefault="00553543">
            <w:pPr>
              <w:keepNext/>
              <w:pBdr>
                <w:top w:val="nil"/>
                <w:left w:val="nil"/>
                <w:bottom w:val="nil"/>
                <w:right w:val="nil"/>
                <w:between w:val="nil"/>
                <w:bar w:val="nil"/>
              </w:pBdr>
              <w:jc w:val="right"/>
              <w:rPr>
                <w:color w:val="000000"/>
              </w:rPr>
            </w:pPr>
          </w:p>
        </w:tc>
        <w:tc>
          <w:tcPr>
            <w:tcW w:w="73" w:type="pct"/>
            <w:tcBorders>
              <w:top w:val="nil"/>
              <w:left w:val="nil"/>
              <w:bottom w:val="nil"/>
              <w:right w:val="nil"/>
            </w:tcBorders>
            <w:shd w:val="clear" w:color="auto" w:fill="CFF0FC"/>
            <w:vAlign w:val="bottom"/>
          </w:tcPr>
          <w:p w14:paraId="6BD669EB"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1BAA3BE8"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6CC8FD88" w14:textId="77777777" w:rsidR="00553543" w:rsidRDefault="00553543">
            <w:pPr>
              <w:keepNext/>
              <w:pBdr>
                <w:top w:val="nil"/>
                <w:left w:val="nil"/>
                <w:bottom w:val="nil"/>
                <w:right w:val="nil"/>
                <w:between w:val="nil"/>
                <w:bar w:val="nil"/>
              </w:pBdr>
              <w:jc w:val="right"/>
              <w:rPr>
                <w:color w:val="000000"/>
              </w:rPr>
            </w:pPr>
          </w:p>
        </w:tc>
        <w:tc>
          <w:tcPr>
            <w:tcW w:w="85" w:type="pct"/>
            <w:tcBorders>
              <w:top w:val="nil"/>
              <w:left w:val="nil"/>
              <w:bottom w:val="nil"/>
              <w:right w:val="nil"/>
            </w:tcBorders>
            <w:shd w:val="clear" w:color="auto" w:fill="CFF0FC"/>
            <w:vAlign w:val="bottom"/>
          </w:tcPr>
          <w:p w14:paraId="75B34AD5"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7A4AB41A"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1EEC4AD9"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6A0034FB"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24FD6C55"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2931C8FB" w14:textId="77777777" w:rsidR="00553543" w:rsidRDefault="00553543">
            <w:pPr>
              <w:keepNext/>
              <w:pBdr>
                <w:top w:val="nil"/>
                <w:left w:val="nil"/>
                <w:bottom w:val="nil"/>
                <w:right w:val="nil"/>
                <w:between w:val="nil"/>
                <w:bar w:val="nil"/>
              </w:pBdr>
              <w:jc w:val="right"/>
              <w:rPr>
                <w:color w:val="000000"/>
              </w:rPr>
            </w:pPr>
          </w:p>
        </w:tc>
      </w:tr>
      <w:tr w:rsidR="00553543" w14:paraId="05FCC0B3" w14:textId="77777777">
        <w:trPr>
          <w:jc w:val="center"/>
        </w:trPr>
        <w:tc>
          <w:tcPr>
            <w:tcW w:w="2027" w:type="pct"/>
            <w:tcBorders>
              <w:top w:val="nil"/>
              <w:left w:val="nil"/>
              <w:bottom w:val="nil"/>
              <w:right w:val="nil"/>
            </w:tcBorders>
            <w:shd w:val="clear" w:color="auto" w:fill="FFFFFF"/>
          </w:tcPr>
          <w:p w14:paraId="460B118E" w14:textId="77777777" w:rsidR="00553543" w:rsidRDefault="00584985">
            <w:pPr>
              <w:keepNext/>
              <w:pBdr>
                <w:top w:val="nil"/>
                <w:left w:val="nil"/>
                <w:bottom w:val="nil"/>
                <w:right w:val="nil"/>
                <w:between w:val="nil"/>
                <w:bar w:val="nil"/>
              </w:pBdr>
              <w:ind w:left="200"/>
              <w:rPr>
                <w:color w:val="000000"/>
              </w:rPr>
            </w:pPr>
            <w:r>
              <w:rPr>
                <w:color w:val="000000"/>
              </w:rPr>
              <w:t>Basic</w:t>
            </w:r>
          </w:p>
        </w:tc>
        <w:tc>
          <w:tcPr>
            <w:tcW w:w="61" w:type="pct"/>
            <w:tcBorders>
              <w:top w:val="nil"/>
              <w:left w:val="nil"/>
              <w:bottom w:val="nil"/>
              <w:right w:val="nil"/>
            </w:tcBorders>
            <w:shd w:val="clear" w:color="auto" w:fill="FFFFFF"/>
            <w:vAlign w:val="bottom"/>
          </w:tcPr>
          <w:p w14:paraId="31AD5EE9"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631EE0D1"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32A39967" w14:textId="77777777" w:rsidR="00553543" w:rsidRDefault="00584985">
            <w:pPr>
              <w:keepNext/>
              <w:pBdr>
                <w:top w:val="nil"/>
                <w:left w:val="nil"/>
                <w:bottom w:val="nil"/>
                <w:right w:val="nil"/>
                <w:between w:val="nil"/>
                <w:bar w:val="nil"/>
              </w:pBdr>
              <w:jc w:val="right"/>
              <w:rPr>
                <w:color w:val="000000"/>
              </w:rPr>
            </w:pPr>
            <w:r>
              <w:rPr>
                <w:color w:val="000000"/>
              </w:rPr>
              <w:t>104,602</w:t>
            </w:r>
          </w:p>
        </w:tc>
        <w:tc>
          <w:tcPr>
            <w:tcW w:w="50" w:type="pct"/>
            <w:tcBorders>
              <w:top w:val="nil"/>
              <w:left w:val="nil"/>
              <w:bottom w:val="nil"/>
              <w:right w:val="nil"/>
            </w:tcBorders>
            <w:shd w:val="clear" w:color="auto" w:fill="FFFFFF"/>
            <w:vAlign w:val="bottom"/>
          </w:tcPr>
          <w:p w14:paraId="4940D856" w14:textId="77777777" w:rsidR="00553543" w:rsidRDefault="00553543">
            <w:pPr>
              <w:keepNext/>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FFFFFF"/>
            <w:vAlign w:val="bottom"/>
          </w:tcPr>
          <w:p w14:paraId="57B845DD"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535D1B55" w14:textId="77777777" w:rsidR="00553543" w:rsidRDefault="00553543">
            <w:pPr>
              <w:keepNext/>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FFFFFF"/>
            <w:vAlign w:val="bottom"/>
          </w:tcPr>
          <w:p w14:paraId="35EE62DF" w14:textId="77777777" w:rsidR="00553543" w:rsidRDefault="00584985">
            <w:pPr>
              <w:keepNext/>
              <w:pBdr>
                <w:top w:val="nil"/>
                <w:left w:val="nil"/>
                <w:bottom w:val="nil"/>
                <w:right w:val="nil"/>
                <w:between w:val="nil"/>
                <w:bar w:val="nil"/>
              </w:pBdr>
              <w:jc w:val="right"/>
              <w:rPr>
                <w:color w:val="000000"/>
              </w:rPr>
            </w:pPr>
            <w:r>
              <w:rPr>
                <w:color w:val="000000"/>
              </w:rPr>
              <w:t>101,467</w:t>
            </w:r>
          </w:p>
        </w:tc>
        <w:tc>
          <w:tcPr>
            <w:tcW w:w="50" w:type="pct"/>
            <w:tcBorders>
              <w:top w:val="nil"/>
              <w:left w:val="nil"/>
              <w:bottom w:val="nil"/>
              <w:right w:val="nil"/>
            </w:tcBorders>
            <w:shd w:val="clear" w:color="auto" w:fill="FFFFFF"/>
            <w:vAlign w:val="bottom"/>
          </w:tcPr>
          <w:p w14:paraId="1553DA6F" w14:textId="77777777" w:rsidR="00553543" w:rsidRDefault="00553543">
            <w:pPr>
              <w:keepNext/>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FFFFFF"/>
            <w:vAlign w:val="bottom"/>
          </w:tcPr>
          <w:p w14:paraId="4CEF8A7F"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FFFFFF"/>
            <w:vAlign w:val="bottom"/>
          </w:tcPr>
          <w:p w14:paraId="1CA1107E"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6A0269E4"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FFFFFF"/>
            <w:vAlign w:val="bottom"/>
          </w:tcPr>
          <w:p w14:paraId="79A551E7" w14:textId="77777777" w:rsidR="00553543" w:rsidRDefault="00553543">
            <w:pPr>
              <w:keepNext/>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FFFFFF"/>
            <w:vAlign w:val="bottom"/>
          </w:tcPr>
          <w:p w14:paraId="5643F158" w14:textId="77777777" w:rsidR="00553543" w:rsidRDefault="00553543">
            <w:pPr>
              <w:keepNext/>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FFFFFF"/>
            <w:vAlign w:val="bottom"/>
          </w:tcPr>
          <w:p w14:paraId="078EA280" w14:textId="77777777" w:rsidR="00553543" w:rsidRDefault="00553543">
            <w:pPr>
              <w:keepNext/>
              <w:pBdr>
                <w:top w:val="nil"/>
                <w:left w:val="nil"/>
                <w:bottom w:val="nil"/>
                <w:right w:val="nil"/>
                <w:between w:val="nil"/>
                <w:bar w:val="nil"/>
              </w:pBdr>
              <w:jc w:val="right"/>
              <w:rPr>
                <w:color w:val="000000"/>
              </w:rPr>
            </w:pPr>
          </w:p>
        </w:tc>
      </w:tr>
      <w:tr w:rsidR="00553543" w14:paraId="6DD2C7C4" w14:textId="77777777">
        <w:trPr>
          <w:jc w:val="center"/>
        </w:trPr>
        <w:tc>
          <w:tcPr>
            <w:tcW w:w="2027" w:type="pct"/>
            <w:tcBorders>
              <w:top w:val="nil"/>
              <w:left w:val="nil"/>
              <w:bottom w:val="nil"/>
              <w:right w:val="nil"/>
            </w:tcBorders>
            <w:shd w:val="clear" w:color="auto" w:fill="CFF0FC"/>
          </w:tcPr>
          <w:p w14:paraId="4C794F58" w14:textId="77777777" w:rsidR="00553543" w:rsidRDefault="00584985">
            <w:pPr>
              <w:pBdr>
                <w:top w:val="nil"/>
                <w:left w:val="nil"/>
                <w:bottom w:val="nil"/>
                <w:right w:val="nil"/>
                <w:between w:val="nil"/>
                <w:bar w:val="nil"/>
              </w:pBdr>
              <w:ind w:left="200"/>
              <w:rPr>
                <w:color w:val="000000"/>
              </w:rPr>
            </w:pPr>
            <w:r>
              <w:rPr>
                <w:color w:val="000000"/>
              </w:rPr>
              <w:t>Diluted (1)</w:t>
            </w:r>
          </w:p>
        </w:tc>
        <w:tc>
          <w:tcPr>
            <w:tcW w:w="61" w:type="pct"/>
            <w:tcBorders>
              <w:top w:val="nil"/>
              <w:left w:val="nil"/>
              <w:bottom w:val="nil"/>
              <w:right w:val="nil"/>
            </w:tcBorders>
            <w:shd w:val="clear" w:color="auto" w:fill="CFF0FC"/>
            <w:vAlign w:val="bottom"/>
          </w:tcPr>
          <w:p w14:paraId="64E5C546" w14:textId="77777777" w:rsidR="00553543" w:rsidRDefault="00553543">
            <w:pPr>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5DCDF441" w14:textId="77777777" w:rsidR="00553543" w:rsidRDefault="00553543">
            <w:pPr>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41205C0C" w14:textId="77777777" w:rsidR="00553543" w:rsidRDefault="00584985">
            <w:pPr>
              <w:pBdr>
                <w:top w:val="nil"/>
                <w:left w:val="nil"/>
                <w:bottom w:val="nil"/>
                <w:right w:val="nil"/>
                <w:between w:val="nil"/>
                <w:bar w:val="nil"/>
              </w:pBdr>
              <w:jc w:val="right"/>
              <w:rPr>
                <w:color w:val="000000"/>
              </w:rPr>
            </w:pPr>
            <w:r>
              <w:rPr>
                <w:color w:val="000000"/>
              </w:rPr>
              <w:t>105,077</w:t>
            </w:r>
          </w:p>
        </w:tc>
        <w:tc>
          <w:tcPr>
            <w:tcW w:w="50" w:type="pct"/>
            <w:tcBorders>
              <w:top w:val="nil"/>
              <w:left w:val="nil"/>
              <w:bottom w:val="nil"/>
              <w:right w:val="nil"/>
            </w:tcBorders>
            <w:shd w:val="clear" w:color="auto" w:fill="CFF0FC"/>
            <w:vAlign w:val="bottom"/>
          </w:tcPr>
          <w:p w14:paraId="11780A8F" w14:textId="77777777" w:rsidR="00553543" w:rsidRDefault="00553543">
            <w:pPr>
              <w:pBdr>
                <w:top w:val="nil"/>
                <w:left w:val="nil"/>
                <w:bottom w:val="nil"/>
                <w:right w:val="nil"/>
                <w:between w:val="nil"/>
                <w:bar w:val="nil"/>
              </w:pBdr>
              <w:rPr>
                <w:color w:val="000000"/>
              </w:rPr>
            </w:pPr>
          </w:p>
        </w:tc>
        <w:tc>
          <w:tcPr>
            <w:tcW w:w="73" w:type="pct"/>
            <w:tcBorders>
              <w:top w:val="nil"/>
              <w:left w:val="nil"/>
              <w:bottom w:val="nil"/>
              <w:right w:val="nil"/>
            </w:tcBorders>
            <w:shd w:val="clear" w:color="auto" w:fill="CFF0FC"/>
            <w:vAlign w:val="bottom"/>
          </w:tcPr>
          <w:p w14:paraId="4539CD64" w14:textId="77777777" w:rsidR="00553543" w:rsidRDefault="00553543">
            <w:pPr>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55894D11" w14:textId="77777777" w:rsidR="00553543" w:rsidRDefault="00553543">
            <w:pPr>
              <w:pBdr>
                <w:top w:val="nil"/>
                <w:left w:val="nil"/>
                <w:bottom w:val="nil"/>
                <w:right w:val="nil"/>
                <w:between w:val="nil"/>
                <w:bar w:val="nil"/>
              </w:pBdr>
              <w:rPr>
                <w:color w:val="000000"/>
              </w:rPr>
            </w:pPr>
          </w:p>
        </w:tc>
        <w:tc>
          <w:tcPr>
            <w:tcW w:w="568" w:type="pct"/>
            <w:tcBorders>
              <w:top w:val="nil"/>
              <w:left w:val="nil"/>
              <w:bottom w:val="nil"/>
              <w:right w:val="nil"/>
            </w:tcBorders>
            <w:shd w:val="clear" w:color="auto" w:fill="CFF0FC"/>
            <w:vAlign w:val="bottom"/>
          </w:tcPr>
          <w:p w14:paraId="0F5E79EB" w14:textId="77777777" w:rsidR="00553543" w:rsidRDefault="00584985">
            <w:pPr>
              <w:pBdr>
                <w:top w:val="nil"/>
                <w:left w:val="nil"/>
                <w:bottom w:val="nil"/>
                <w:right w:val="nil"/>
                <w:between w:val="nil"/>
                <w:bar w:val="nil"/>
              </w:pBdr>
              <w:jc w:val="right"/>
              <w:rPr>
                <w:color w:val="000000"/>
              </w:rPr>
            </w:pPr>
            <w:r>
              <w:rPr>
                <w:color w:val="000000"/>
              </w:rPr>
              <w:t>102,933</w:t>
            </w:r>
          </w:p>
        </w:tc>
        <w:tc>
          <w:tcPr>
            <w:tcW w:w="50" w:type="pct"/>
            <w:tcBorders>
              <w:top w:val="nil"/>
              <w:left w:val="nil"/>
              <w:bottom w:val="nil"/>
              <w:right w:val="nil"/>
            </w:tcBorders>
            <w:shd w:val="clear" w:color="auto" w:fill="CFF0FC"/>
            <w:vAlign w:val="bottom"/>
          </w:tcPr>
          <w:p w14:paraId="3677DFB3" w14:textId="77777777" w:rsidR="00553543" w:rsidRDefault="00553543">
            <w:pPr>
              <w:pBdr>
                <w:top w:val="nil"/>
                <w:left w:val="nil"/>
                <w:bottom w:val="nil"/>
                <w:right w:val="nil"/>
                <w:between w:val="nil"/>
                <w:bar w:val="nil"/>
              </w:pBdr>
              <w:rPr>
                <w:color w:val="000000"/>
              </w:rPr>
            </w:pPr>
          </w:p>
        </w:tc>
        <w:tc>
          <w:tcPr>
            <w:tcW w:w="85" w:type="pct"/>
            <w:tcBorders>
              <w:top w:val="nil"/>
              <w:left w:val="nil"/>
              <w:bottom w:val="nil"/>
              <w:right w:val="nil"/>
            </w:tcBorders>
            <w:shd w:val="clear" w:color="auto" w:fill="CFF0FC"/>
            <w:vAlign w:val="bottom"/>
          </w:tcPr>
          <w:p w14:paraId="2FCD99C4" w14:textId="77777777" w:rsidR="00553543" w:rsidRDefault="00553543">
            <w:pPr>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7D90AF78" w14:textId="77777777" w:rsidR="00553543" w:rsidRDefault="00553543">
            <w:pPr>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32A8826F" w14:textId="77777777" w:rsidR="00553543" w:rsidRDefault="00553543">
            <w:pPr>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05A0AF46" w14:textId="77777777" w:rsidR="00553543" w:rsidRDefault="00553543">
            <w:pPr>
              <w:pBdr>
                <w:top w:val="nil"/>
                <w:left w:val="nil"/>
                <w:bottom w:val="nil"/>
                <w:right w:val="nil"/>
                <w:between w:val="nil"/>
                <w:bar w:val="nil"/>
              </w:pBdr>
              <w:rPr>
                <w:color w:val="000000"/>
              </w:rPr>
            </w:pPr>
          </w:p>
        </w:tc>
        <w:tc>
          <w:tcPr>
            <w:tcW w:w="0" w:type="auto"/>
            <w:gridSpan w:val="2"/>
            <w:tcBorders>
              <w:top w:val="nil"/>
              <w:left w:val="nil"/>
              <w:bottom w:val="nil"/>
              <w:right w:val="nil"/>
            </w:tcBorders>
            <w:shd w:val="clear" w:color="auto" w:fill="CFF0FC"/>
            <w:vAlign w:val="bottom"/>
          </w:tcPr>
          <w:p w14:paraId="0070C6D5" w14:textId="77777777" w:rsidR="00553543" w:rsidRDefault="00553543">
            <w:pPr>
              <w:pBdr>
                <w:top w:val="nil"/>
                <w:left w:val="nil"/>
                <w:bottom w:val="nil"/>
                <w:right w:val="nil"/>
                <w:between w:val="nil"/>
                <w:bar w:val="nil"/>
              </w:pBdr>
              <w:jc w:val="right"/>
              <w:rPr>
                <w:color w:val="000000"/>
              </w:rPr>
            </w:pPr>
          </w:p>
        </w:tc>
        <w:tc>
          <w:tcPr>
            <w:tcW w:w="124" w:type="pct"/>
            <w:tcBorders>
              <w:top w:val="nil"/>
              <w:left w:val="nil"/>
              <w:bottom w:val="nil"/>
              <w:right w:val="nil"/>
            </w:tcBorders>
            <w:shd w:val="clear" w:color="auto" w:fill="CFF0FC"/>
            <w:vAlign w:val="bottom"/>
          </w:tcPr>
          <w:p w14:paraId="018887EA" w14:textId="77777777" w:rsidR="00553543" w:rsidRDefault="00553543">
            <w:pPr>
              <w:pBdr>
                <w:top w:val="nil"/>
                <w:left w:val="nil"/>
                <w:bottom w:val="nil"/>
                <w:right w:val="nil"/>
                <w:between w:val="nil"/>
                <w:bar w:val="nil"/>
              </w:pBdr>
              <w:jc w:val="right"/>
              <w:rPr>
                <w:color w:val="000000"/>
              </w:rPr>
            </w:pPr>
          </w:p>
        </w:tc>
      </w:tr>
    </w:tbl>
    <w:p w14:paraId="4A46928A" w14:textId="77777777" w:rsidR="00553543" w:rsidRDefault="00553543">
      <w:pPr>
        <w:pBdr>
          <w:top w:val="nil"/>
          <w:left w:val="nil"/>
          <w:bottom w:val="nil"/>
          <w:right w:val="nil"/>
          <w:between w:val="nil"/>
          <w:bar w:val="nil"/>
        </w:pBdr>
        <w:rPr>
          <w:color w:val="000000"/>
        </w:rPr>
      </w:pPr>
    </w:p>
    <w:p w14:paraId="10708BAE" w14:textId="77777777" w:rsidR="00553543" w:rsidRDefault="00553543">
      <w:pPr>
        <w:pBdr>
          <w:top w:val="nil"/>
          <w:left w:val="nil"/>
          <w:bottom w:val="nil"/>
          <w:right w:val="nil"/>
          <w:between w:val="nil"/>
          <w:bar w:val="nil"/>
        </w:pBdr>
        <w:rPr>
          <w:color w:val="000000"/>
          <w:shd w:val="clear" w:color="auto" w:fill="FFFF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7136"/>
        <w:gridCol w:w="173"/>
        <w:gridCol w:w="123"/>
        <w:gridCol w:w="108"/>
        <w:gridCol w:w="1320"/>
        <w:gridCol w:w="108"/>
        <w:gridCol w:w="173"/>
        <w:gridCol w:w="123"/>
        <w:gridCol w:w="108"/>
        <w:gridCol w:w="1320"/>
        <w:gridCol w:w="108"/>
      </w:tblGrid>
      <w:tr w:rsidR="00553543" w14:paraId="1CF9980E" w14:textId="77777777">
        <w:trPr>
          <w:jc w:val="center"/>
        </w:trPr>
        <w:tc>
          <w:tcPr>
            <w:tcW w:w="3304" w:type="pct"/>
            <w:tcBorders>
              <w:top w:val="nil"/>
              <w:left w:val="nil"/>
              <w:bottom w:val="nil"/>
              <w:right w:val="nil"/>
            </w:tcBorders>
            <w:shd w:val="clear" w:color="auto" w:fill="FFFFFF"/>
            <w:tcMar>
              <w:top w:w="0" w:type="dxa"/>
              <w:right w:w="0" w:type="dxa"/>
            </w:tcMar>
            <w:vAlign w:val="bottom"/>
          </w:tcPr>
          <w:p w14:paraId="48AB59FE" w14:textId="77777777" w:rsidR="00553543" w:rsidRDefault="00553543">
            <w:pPr>
              <w:keepNext/>
              <w:pBdr>
                <w:top w:val="nil"/>
                <w:left w:val="nil"/>
                <w:bottom w:val="nil"/>
                <w:right w:val="nil"/>
                <w:between w:val="nil"/>
                <w:bar w:val="nil"/>
              </w:pBdr>
              <w:jc w:val="center"/>
              <w:rPr>
                <w:b/>
                <w:color w:val="000000"/>
              </w:rPr>
            </w:pPr>
          </w:p>
        </w:tc>
        <w:tc>
          <w:tcPr>
            <w:tcW w:w="80" w:type="pct"/>
            <w:tcBorders>
              <w:top w:val="nil"/>
              <w:left w:val="nil"/>
              <w:bottom w:val="nil"/>
              <w:right w:val="nil"/>
            </w:tcBorders>
            <w:shd w:val="clear" w:color="auto" w:fill="FFFFFF"/>
            <w:tcMar>
              <w:top w:w="0" w:type="dxa"/>
              <w:right w:w="0" w:type="dxa"/>
            </w:tcMar>
            <w:vAlign w:val="bottom"/>
          </w:tcPr>
          <w:p w14:paraId="70A83F8F" w14:textId="77777777" w:rsidR="00553543" w:rsidRDefault="00553543">
            <w:pPr>
              <w:keepNext/>
              <w:pBdr>
                <w:top w:val="nil"/>
                <w:left w:val="nil"/>
                <w:bottom w:val="nil"/>
                <w:right w:val="nil"/>
                <w:between w:val="nil"/>
                <w:bar w:val="nil"/>
              </w:pBdr>
              <w:rPr>
                <w:b/>
                <w:color w:val="000000"/>
              </w:rPr>
            </w:pPr>
          </w:p>
        </w:tc>
        <w:tc>
          <w:tcPr>
            <w:tcW w:w="57" w:type="pct"/>
            <w:tcBorders>
              <w:top w:val="nil"/>
              <w:left w:val="nil"/>
              <w:bottom w:val="single" w:sz="4" w:space="0" w:color="000000"/>
              <w:right w:val="nil"/>
            </w:tcBorders>
            <w:shd w:val="clear" w:color="auto" w:fill="FFFFFF"/>
            <w:tcMar>
              <w:top w:w="0" w:type="dxa"/>
              <w:right w:w="0" w:type="dxa"/>
            </w:tcMar>
            <w:vAlign w:val="bottom"/>
          </w:tcPr>
          <w:p w14:paraId="019B4C6F" w14:textId="77777777" w:rsidR="00553543" w:rsidRDefault="00553543">
            <w:pPr>
              <w:keepNext/>
              <w:pBdr>
                <w:top w:val="nil"/>
                <w:left w:val="nil"/>
                <w:bottom w:val="nil"/>
                <w:right w:val="nil"/>
                <w:between w:val="nil"/>
                <w:bar w:val="nil"/>
              </w:pBdr>
              <w:rPr>
                <w:b/>
                <w:color w:val="000000"/>
              </w:rPr>
            </w:pPr>
          </w:p>
        </w:tc>
        <w:tc>
          <w:tcPr>
            <w:tcW w:w="0" w:type="auto"/>
            <w:gridSpan w:val="7"/>
            <w:tcBorders>
              <w:top w:val="nil"/>
              <w:left w:val="nil"/>
              <w:bottom w:val="single" w:sz="4" w:space="0" w:color="000000"/>
              <w:right w:val="nil"/>
            </w:tcBorders>
            <w:shd w:val="clear" w:color="auto" w:fill="FFFFFF"/>
            <w:tcMar>
              <w:top w:w="0" w:type="dxa"/>
              <w:right w:w="0" w:type="dxa"/>
            </w:tcMar>
            <w:vAlign w:val="bottom"/>
          </w:tcPr>
          <w:p w14:paraId="3DCFFEFD" w14:textId="77777777" w:rsidR="00553543" w:rsidRDefault="00584985">
            <w:pPr>
              <w:keepNext/>
              <w:pBdr>
                <w:top w:val="nil"/>
                <w:left w:val="nil"/>
                <w:bottom w:val="nil"/>
                <w:right w:val="nil"/>
                <w:between w:val="nil"/>
                <w:bar w:val="nil"/>
              </w:pBdr>
              <w:jc w:val="center"/>
              <w:rPr>
                <w:b/>
                <w:color w:val="000000"/>
              </w:rPr>
            </w:pPr>
            <w:r>
              <w:rPr>
                <w:b/>
                <w:color w:val="000000"/>
              </w:rPr>
              <w:t>Forecasted</w:t>
            </w:r>
          </w:p>
        </w:tc>
        <w:tc>
          <w:tcPr>
            <w:tcW w:w="50" w:type="pct"/>
            <w:tcBorders>
              <w:top w:val="nil"/>
              <w:left w:val="nil"/>
              <w:bottom w:val="nil"/>
              <w:right w:val="nil"/>
            </w:tcBorders>
            <w:shd w:val="clear" w:color="auto" w:fill="FFFFFF"/>
            <w:tcMar>
              <w:top w:w="0" w:type="dxa"/>
              <w:right w:w="0" w:type="dxa"/>
            </w:tcMar>
            <w:vAlign w:val="bottom"/>
          </w:tcPr>
          <w:p w14:paraId="6F760062" w14:textId="77777777" w:rsidR="00553543" w:rsidRDefault="00553543">
            <w:pPr>
              <w:keepNext/>
              <w:pBdr>
                <w:top w:val="nil"/>
                <w:left w:val="nil"/>
                <w:bottom w:val="nil"/>
                <w:right w:val="nil"/>
                <w:between w:val="nil"/>
                <w:bar w:val="nil"/>
              </w:pBdr>
              <w:jc w:val="center"/>
              <w:rPr>
                <w:b/>
                <w:color w:val="000000"/>
              </w:rPr>
            </w:pPr>
          </w:p>
        </w:tc>
      </w:tr>
      <w:tr w:rsidR="00553543" w14:paraId="4F1CF0EA" w14:textId="77777777">
        <w:trPr>
          <w:jc w:val="center"/>
        </w:trPr>
        <w:tc>
          <w:tcPr>
            <w:tcW w:w="3304" w:type="pct"/>
            <w:tcBorders>
              <w:top w:val="nil"/>
              <w:left w:val="nil"/>
              <w:bottom w:val="nil"/>
              <w:right w:val="nil"/>
            </w:tcBorders>
            <w:shd w:val="clear" w:color="auto" w:fill="FFFFFF"/>
            <w:tcMar>
              <w:top w:w="0" w:type="dxa"/>
              <w:right w:w="0" w:type="dxa"/>
            </w:tcMar>
            <w:vAlign w:val="bottom"/>
          </w:tcPr>
          <w:p w14:paraId="2E4B0CA8" w14:textId="77777777" w:rsidR="00553543" w:rsidRDefault="00553543">
            <w:pPr>
              <w:keepNext/>
              <w:pBdr>
                <w:top w:val="nil"/>
                <w:left w:val="nil"/>
                <w:bottom w:val="nil"/>
                <w:right w:val="nil"/>
                <w:between w:val="nil"/>
                <w:bar w:val="nil"/>
              </w:pBdr>
              <w:jc w:val="center"/>
              <w:rPr>
                <w:b/>
                <w:color w:val="000000"/>
              </w:rPr>
            </w:pPr>
          </w:p>
        </w:tc>
        <w:tc>
          <w:tcPr>
            <w:tcW w:w="80" w:type="pct"/>
            <w:tcBorders>
              <w:top w:val="nil"/>
              <w:left w:val="nil"/>
              <w:bottom w:val="nil"/>
              <w:right w:val="nil"/>
            </w:tcBorders>
            <w:shd w:val="clear" w:color="auto" w:fill="FFFFFF"/>
            <w:tcMar>
              <w:top w:w="0" w:type="dxa"/>
              <w:right w:w="0" w:type="dxa"/>
            </w:tcMar>
            <w:vAlign w:val="bottom"/>
          </w:tcPr>
          <w:p w14:paraId="10314C05" w14:textId="77777777" w:rsidR="00553543" w:rsidRDefault="00553543">
            <w:pPr>
              <w:keepNext/>
              <w:pBdr>
                <w:top w:val="nil"/>
                <w:left w:val="nil"/>
                <w:bottom w:val="nil"/>
                <w:right w:val="nil"/>
                <w:between w:val="nil"/>
                <w:bar w:val="nil"/>
              </w:pBdr>
              <w:rPr>
                <w:b/>
                <w:color w:val="000000"/>
              </w:rPr>
            </w:pPr>
          </w:p>
        </w:tc>
        <w:tc>
          <w:tcPr>
            <w:tcW w:w="0" w:type="auto"/>
            <w:gridSpan w:val="3"/>
            <w:tcBorders>
              <w:top w:val="single" w:sz="4" w:space="0" w:color="000000"/>
              <w:left w:val="nil"/>
              <w:bottom w:val="single" w:sz="4" w:space="0" w:color="000000"/>
              <w:right w:val="nil"/>
            </w:tcBorders>
            <w:shd w:val="clear" w:color="auto" w:fill="FFFFFF"/>
            <w:tcMar>
              <w:top w:w="0" w:type="dxa"/>
              <w:right w:w="0" w:type="dxa"/>
            </w:tcMar>
            <w:vAlign w:val="bottom"/>
          </w:tcPr>
          <w:p w14:paraId="4E3E1E21" w14:textId="77777777" w:rsidR="00553543" w:rsidRDefault="00584985">
            <w:pPr>
              <w:keepNext/>
              <w:pBdr>
                <w:top w:val="nil"/>
                <w:left w:val="nil"/>
                <w:bottom w:val="nil"/>
                <w:right w:val="nil"/>
                <w:between w:val="nil"/>
                <w:bar w:val="nil"/>
              </w:pBdr>
              <w:jc w:val="center"/>
              <w:rPr>
                <w:b/>
                <w:color w:val="000000"/>
              </w:rPr>
            </w:pPr>
            <w:r>
              <w:rPr>
                <w:b/>
                <w:color w:val="000000"/>
              </w:rPr>
              <w:t>Q2 2025</w:t>
            </w:r>
          </w:p>
        </w:tc>
        <w:tc>
          <w:tcPr>
            <w:tcW w:w="50" w:type="pct"/>
            <w:tcBorders>
              <w:top w:val="nil"/>
              <w:left w:val="nil"/>
              <w:bottom w:val="nil"/>
              <w:right w:val="nil"/>
            </w:tcBorders>
            <w:shd w:val="clear" w:color="auto" w:fill="FFFFFF"/>
            <w:tcMar>
              <w:top w:w="0" w:type="dxa"/>
              <w:right w:w="0" w:type="dxa"/>
            </w:tcMar>
            <w:vAlign w:val="bottom"/>
          </w:tcPr>
          <w:p w14:paraId="4016A850" w14:textId="77777777" w:rsidR="00553543" w:rsidRDefault="00553543">
            <w:pPr>
              <w:keepNext/>
              <w:pBdr>
                <w:top w:val="nil"/>
                <w:left w:val="nil"/>
                <w:bottom w:val="nil"/>
                <w:right w:val="nil"/>
                <w:between w:val="nil"/>
                <w:bar w:val="nil"/>
              </w:pBdr>
              <w:jc w:val="center"/>
              <w:rPr>
                <w:b/>
                <w:color w:val="000000"/>
              </w:rPr>
            </w:pPr>
          </w:p>
        </w:tc>
        <w:tc>
          <w:tcPr>
            <w:tcW w:w="80" w:type="pct"/>
            <w:tcBorders>
              <w:top w:val="single" w:sz="4" w:space="0" w:color="000000"/>
              <w:left w:val="nil"/>
              <w:bottom w:val="nil"/>
              <w:right w:val="nil"/>
            </w:tcBorders>
            <w:shd w:val="clear" w:color="auto" w:fill="FFFFFF"/>
            <w:tcMar>
              <w:top w:w="0" w:type="dxa"/>
              <w:right w:w="0" w:type="dxa"/>
            </w:tcMar>
            <w:vAlign w:val="bottom"/>
          </w:tcPr>
          <w:p w14:paraId="4043D41D" w14:textId="77777777" w:rsidR="00553543" w:rsidRDefault="00553543">
            <w:pPr>
              <w:keepNext/>
              <w:pBdr>
                <w:top w:val="nil"/>
                <w:left w:val="nil"/>
                <w:bottom w:val="nil"/>
                <w:right w:val="nil"/>
                <w:between w:val="nil"/>
                <w:bar w:val="nil"/>
              </w:pBdr>
              <w:rPr>
                <w:b/>
                <w:color w:val="000000"/>
              </w:rPr>
            </w:pPr>
          </w:p>
        </w:tc>
        <w:tc>
          <w:tcPr>
            <w:tcW w:w="0" w:type="auto"/>
            <w:gridSpan w:val="3"/>
            <w:tcBorders>
              <w:top w:val="single" w:sz="4" w:space="0" w:color="000000"/>
              <w:left w:val="nil"/>
              <w:bottom w:val="single" w:sz="4" w:space="0" w:color="000000"/>
              <w:right w:val="nil"/>
            </w:tcBorders>
            <w:shd w:val="clear" w:color="auto" w:fill="FFFFFF"/>
            <w:tcMar>
              <w:top w:w="0" w:type="dxa"/>
              <w:right w:w="0" w:type="dxa"/>
            </w:tcMar>
            <w:vAlign w:val="bottom"/>
          </w:tcPr>
          <w:p w14:paraId="052D2837" w14:textId="77777777" w:rsidR="00553543" w:rsidRDefault="00584985">
            <w:pPr>
              <w:keepNext/>
              <w:pBdr>
                <w:top w:val="nil"/>
                <w:left w:val="nil"/>
                <w:bottom w:val="nil"/>
                <w:right w:val="nil"/>
                <w:between w:val="nil"/>
                <w:bar w:val="nil"/>
              </w:pBdr>
              <w:jc w:val="center"/>
              <w:rPr>
                <w:b/>
                <w:color w:val="000000"/>
              </w:rPr>
            </w:pPr>
            <w:r>
              <w:rPr>
                <w:b/>
                <w:color w:val="000000"/>
              </w:rPr>
              <w:t>FY 2025</w:t>
            </w:r>
          </w:p>
        </w:tc>
        <w:tc>
          <w:tcPr>
            <w:tcW w:w="50" w:type="pct"/>
            <w:tcBorders>
              <w:top w:val="nil"/>
              <w:left w:val="nil"/>
              <w:bottom w:val="nil"/>
              <w:right w:val="nil"/>
            </w:tcBorders>
            <w:shd w:val="clear" w:color="auto" w:fill="FFFFFF"/>
            <w:tcMar>
              <w:top w:w="0" w:type="dxa"/>
              <w:right w:w="0" w:type="dxa"/>
            </w:tcMar>
            <w:vAlign w:val="bottom"/>
          </w:tcPr>
          <w:p w14:paraId="306C8AFE" w14:textId="77777777" w:rsidR="00553543" w:rsidRDefault="00553543">
            <w:pPr>
              <w:keepNext/>
              <w:pBdr>
                <w:top w:val="nil"/>
                <w:left w:val="nil"/>
                <w:bottom w:val="nil"/>
                <w:right w:val="nil"/>
                <w:between w:val="nil"/>
                <w:bar w:val="nil"/>
              </w:pBdr>
              <w:jc w:val="center"/>
              <w:rPr>
                <w:b/>
                <w:color w:val="000000"/>
              </w:rPr>
            </w:pPr>
          </w:p>
        </w:tc>
      </w:tr>
      <w:tr w:rsidR="00553543" w14:paraId="47E91B9A" w14:textId="77777777">
        <w:trPr>
          <w:jc w:val="center"/>
        </w:trPr>
        <w:tc>
          <w:tcPr>
            <w:tcW w:w="3304" w:type="pct"/>
            <w:tcBorders>
              <w:top w:val="nil"/>
              <w:left w:val="nil"/>
              <w:bottom w:val="nil"/>
              <w:right w:val="nil"/>
            </w:tcBorders>
            <w:shd w:val="clear" w:color="auto" w:fill="CFF0FC"/>
            <w:tcMar>
              <w:top w:w="0" w:type="dxa"/>
              <w:right w:w="0" w:type="dxa"/>
            </w:tcMar>
          </w:tcPr>
          <w:p w14:paraId="24531528" w14:textId="77777777" w:rsidR="00553543" w:rsidRDefault="00584985">
            <w:pPr>
              <w:keepNext/>
              <w:pBdr>
                <w:top w:val="nil"/>
                <w:left w:val="nil"/>
                <w:bottom w:val="nil"/>
                <w:right w:val="nil"/>
                <w:between w:val="nil"/>
                <w:bar w:val="nil"/>
              </w:pBdr>
              <w:rPr>
                <w:color w:val="000000"/>
              </w:rPr>
            </w:pPr>
            <w:r>
              <w:rPr>
                <w:color w:val="000000"/>
              </w:rPr>
              <w:t>Period End Ship Count</w:t>
            </w:r>
          </w:p>
        </w:tc>
        <w:tc>
          <w:tcPr>
            <w:tcW w:w="80" w:type="pct"/>
            <w:tcBorders>
              <w:top w:val="nil"/>
              <w:left w:val="nil"/>
              <w:bottom w:val="nil"/>
              <w:right w:val="nil"/>
            </w:tcBorders>
            <w:shd w:val="clear" w:color="auto" w:fill="CFF0FC"/>
            <w:tcMar>
              <w:top w:w="0" w:type="dxa"/>
              <w:right w:w="0" w:type="dxa"/>
            </w:tcMar>
            <w:vAlign w:val="bottom"/>
          </w:tcPr>
          <w:p w14:paraId="225F5256" w14:textId="77777777" w:rsidR="00553543" w:rsidRDefault="00553543">
            <w:pPr>
              <w:keepNext/>
              <w:pBdr>
                <w:top w:val="nil"/>
                <w:left w:val="nil"/>
                <w:bottom w:val="nil"/>
                <w:right w:val="nil"/>
                <w:between w:val="nil"/>
                <w:bar w:val="nil"/>
              </w:pBdr>
              <w:rPr>
                <w:color w:val="000000"/>
              </w:rPr>
            </w:pPr>
          </w:p>
        </w:tc>
        <w:tc>
          <w:tcPr>
            <w:tcW w:w="57" w:type="pct"/>
            <w:tcBorders>
              <w:top w:val="single" w:sz="4" w:space="0" w:color="000000"/>
              <w:left w:val="nil"/>
              <w:bottom w:val="nil"/>
              <w:right w:val="nil"/>
            </w:tcBorders>
            <w:shd w:val="clear" w:color="auto" w:fill="CFF0FC"/>
            <w:tcMar>
              <w:top w:w="0" w:type="dxa"/>
              <w:right w:w="0" w:type="dxa"/>
            </w:tcMar>
            <w:vAlign w:val="bottom"/>
          </w:tcPr>
          <w:p w14:paraId="3DE66690"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nil"/>
              <w:right w:val="nil"/>
            </w:tcBorders>
            <w:shd w:val="clear" w:color="auto" w:fill="CFF0FC"/>
            <w:tcMar>
              <w:top w:w="0" w:type="dxa"/>
              <w:right w:w="0" w:type="dxa"/>
            </w:tcMar>
            <w:vAlign w:val="bottom"/>
          </w:tcPr>
          <w:p w14:paraId="4AF97A6E" w14:textId="77777777" w:rsidR="00553543" w:rsidRDefault="00553543">
            <w:pPr>
              <w:keepNext/>
              <w:pBdr>
                <w:top w:val="nil"/>
                <w:left w:val="nil"/>
                <w:bottom w:val="nil"/>
                <w:right w:val="nil"/>
                <w:between w:val="nil"/>
                <w:bar w:val="nil"/>
              </w:pBdr>
              <w:rPr>
                <w:color w:val="000000"/>
              </w:rPr>
            </w:pPr>
          </w:p>
        </w:tc>
        <w:tc>
          <w:tcPr>
            <w:tcW w:w="611" w:type="pct"/>
            <w:tcBorders>
              <w:top w:val="single" w:sz="4" w:space="0" w:color="000000"/>
              <w:left w:val="nil"/>
              <w:bottom w:val="nil"/>
              <w:right w:val="nil"/>
            </w:tcBorders>
            <w:shd w:val="clear" w:color="auto" w:fill="CFF0FC"/>
            <w:tcMar>
              <w:top w:w="0" w:type="dxa"/>
              <w:right w:w="0" w:type="dxa"/>
            </w:tcMar>
            <w:vAlign w:val="bottom"/>
          </w:tcPr>
          <w:p w14:paraId="5FDA98D0" w14:textId="77777777" w:rsidR="00553543" w:rsidRDefault="00584985">
            <w:pPr>
              <w:keepNext/>
              <w:pBdr>
                <w:top w:val="nil"/>
                <w:left w:val="nil"/>
                <w:bottom w:val="nil"/>
                <w:right w:val="nil"/>
                <w:between w:val="nil"/>
                <w:bar w:val="nil"/>
              </w:pBdr>
              <w:jc w:val="right"/>
              <w:rPr>
                <w:color w:val="000000"/>
              </w:rPr>
            </w:pPr>
            <w:r>
              <w:rPr>
                <w:color w:val="000000"/>
              </w:rPr>
              <w:t>200</w:t>
            </w:r>
          </w:p>
        </w:tc>
        <w:tc>
          <w:tcPr>
            <w:tcW w:w="50" w:type="pct"/>
            <w:tcBorders>
              <w:top w:val="nil"/>
              <w:left w:val="nil"/>
              <w:bottom w:val="nil"/>
              <w:right w:val="nil"/>
            </w:tcBorders>
            <w:shd w:val="clear" w:color="auto" w:fill="CFF0FC"/>
            <w:tcMar>
              <w:top w:w="0" w:type="dxa"/>
              <w:right w:w="0" w:type="dxa"/>
            </w:tcMar>
            <w:vAlign w:val="bottom"/>
          </w:tcPr>
          <w:p w14:paraId="60254F02" w14:textId="77777777" w:rsidR="00553543" w:rsidRDefault="00553543">
            <w:pPr>
              <w:keepNext/>
              <w:pBdr>
                <w:top w:val="nil"/>
                <w:left w:val="nil"/>
                <w:bottom w:val="nil"/>
                <w:right w:val="nil"/>
                <w:between w:val="nil"/>
                <w:bar w:val="nil"/>
              </w:pBdr>
              <w:rPr>
                <w:color w:val="000000"/>
              </w:rPr>
            </w:pPr>
          </w:p>
        </w:tc>
        <w:tc>
          <w:tcPr>
            <w:tcW w:w="80" w:type="pct"/>
            <w:tcBorders>
              <w:top w:val="nil"/>
              <w:left w:val="nil"/>
              <w:bottom w:val="nil"/>
              <w:right w:val="nil"/>
            </w:tcBorders>
            <w:shd w:val="clear" w:color="auto" w:fill="CFF0FC"/>
            <w:tcMar>
              <w:top w:w="0" w:type="dxa"/>
              <w:right w:w="0" w:type="dxa"/>
            </w:tcMar>
            <w:vAlign w:val="bottom"/>
          </w:tcPr>
          <w:p w14:paraId="1254EBB4" w14:textId="77777777" w:rsidR="00553543" w:rsidRDefault="00553543">
            <w:pPr>
              <w:keepNext/>
              <w:pBdr>
                <w:top w:val="nil"/>
                <w:left w:val="nil"/>
                <w:bottom w:val="nil"/>
                <w:right w:val="nil"/>
                <w:between w:val="nil"/>
                <w:bar w:val="nil"/>
              </w:pBdr>
              <w:rPr>
                <w:color w:val="000000"/>
              </w:rPr>
            </w:pPr>
          </w:p>
        </w:tc>
        <w:tc>
          <w:tcPr>
            <w:tcW w:w="57" w:type="pct"/>
            <w:tcBorders>
              <w:top w:val="single" w:sz="4" w:space="0" w:color="000000"/>
              <w:left w:val="nil"/>
              <w:bottom w:val="nil"/>
              <w:right w:val="nil"/>
            </w:tcBorders>
            <w:shd w:val="clear" w:color="auto" w:fill="CFF0FC"/>
            <w:tcMar>
              <w:top w:w="0" w:type="dxa"/>
              <w:right w:w="0" w:type="dxa"/>
            </w:tcMar>
            <w:vAlign w:val="bottom"/>
          </w:tcPr>
          <w:p w14:paraId="5EE3020D" w14:textId="77777777" w:rsidR="00553543" w:rsidRDefault="00553543">
            <w:pPr>
              <w:keepNext/>
              <w:pBdr>
                <w:top w:val="nil"/>
                <w:left w:val="nil"/>
                <w:bottom w:val="nil"/>
                <w:right w:val="nil"/>
                <w:between w:val="nil"/>
                <w:bar w:val="nil"/>
              </w:pBdr>
              <w:rPr>
                <w:color w:val="000000"/>
              </w:rPr>
            </w:pPr>
          </w:p>
        </w:tc>
        <w:tc>
          <w:tcPr>
            <w:tcW w:w="50" w:type="pct"/>
            <w:tcBorders>
              <w:top w:val="single" w:sz="4" w:space="0" w:color="000000"/>
              <w:left w:val="nil"/>
              <w:bottom w:val="nil"/>
              <w:right w:val="nil"/>
            </w:tcBorders>
            <w:shd w:val="clear" w:color="auto" w:fill="CFF0FC"/>
            <w:tcMar>
              <w:top w:w="0" w:type="dxa"/>
              <w:right w:w="0" w:type="dxa"/>
            </w:tcMar>
            <w:vAlign w:val="bottom"/>
          </w:tcPr>
          <w:p w14:paraId="45D28643" w14:textId="77777777" w:rsidR="00553543" w:rsidRDefault="00553543">
            <w:pPr>
              <w:keepNext/>
              <w:pBdr>
                <w:top w:val="nil"/>
                <w:left w:val="nil"/>
                <w:bottom w:val="nil"/>
                <w:right w:val="nil"/>
                <w:between w:val="nil"/>
                <w:bar w:val="nil"/>
              </w:pBdr>
              <w:rPr>
                <w:color w:val="000000"/>
              </w:rPr>
            </w:pPr>
          </w:p>
        </w:tc>
        <w:tc>
          <w:tcPr>
            <w:tcW w:w="611" w:type="pct"/>
            <w:tcBorders>
              <w:top w:val="single" w:sz="4" w:space="0" w:color="000000"/>
              <w:left w:val="nil"/>
              <w:bottom w:val="nil"/>
              <w:right w:val="nil"/>
            </w:tcBorders>
            <w:shd w:val="clear" w:color="auto" w:fill="CFF0FC"/>
            <w:tcMar>
              <w:top w:w="0" w:type="dxa"/>
              <w:right w:w="0" w:type="dxa"/>
            </w:tcMar>
            <w:vAlign w:val="bottom"/>
          </w:tcPr>
          <w:p w14:paraId="38759481" w14:textId="77777777" w:rsidR="00553543" w:rsidRDefault="00584985">
            <w:pPr>
              <w:keepNext/>
              <w:pBdr>
                <w:top w:val="nil"/>
                <w:left w:val="nil"/>
                <w:bottom w:val="nil"/>
                <w:right w:val="nil"/>
                <w:between w:val="nil"/>
                <w:bar w:val="nil"/>
              </w:pBdr>
              <w:jc w:val="right"/>
              <w:rPr>
                <w:color w:val="000000"/>
              </w:rPr>
            </w:pPr>
            <w:r>
              <w:rPr>
                <w:color w:val="000000"/>
              </w:rPr>
              <w:t>207</w:t>
            </w:r>
          </w:p>
        </w:tc>
        <w:tc>
          <w:tcPr>
            <w:tcW w:w="50" w:type="pct"/>
            <w:tcBorders>
              <w:top w:val="nil"/>
              <w:left w:val="nil"/>
              <w:bottom w:val="nil"/>
              <w:right w:val="nil"/>
            </w:tcBorders>
            <w:shd w:val="clear" w:color="auto" w:fill="CFF0FC"/>
            <w:tcMar>
              <w:top w:w="0" w:type="dxa"/>
              <w:right w:w="0" w:type="dxa"/>
            </w:tcMar>
            <w:vAlign w:val="bottom"/>
          </w:tcPr>
          <w:p w14:paraId="11CEDC60" w14:textId="77777777" w:rsidR="00553543" w:rsidRDefault="00553543">
            <w:pPr>
              <w:keepNext/>
              <w:pBdr>
                <w:top w:val="nil"/>
                <w:left w:val="nil"/>
                <w:bottom w:val="nil"/>
                <w:right w:val="nil"/>
                <w:between w:val="nil"/>
                <w:bar w:val="nil"/>
              </w:pBdr>
              <w:rPr>
                <w:color w:val="000000"/>
              </w:rPr>
            </w:pPr>
          </w:p>
        </w:tc>
      </w:tr>
      <w:tr w:rsidR="00553543" w14:paraId="6C950001" w14:textId="77777777">
        <w:trPr>
          <w:jc w:val="center"/>
        </w:trPr>
        <w:tc>
          <w:tcPr>
            <w:tcW w:w="3304" w:type="pct"/>
            <w:tcBorders>
              <w:top w:val="nil"/>
              <w:left w:val="nil"/>
              <w:bottom w:val="nil"/>
              <w:right w:val="nil"/>
            </w:tcBorders>
            <w:shd w:val="clear" w:color="auto" w:fill="FFFFFF"/>
            <w:tcMar>
              <w:top w:w="0" w:type="dxa"/>
              <w:right w:w="0" w:type="dxa"/>
            </w:tcMar>
          </w:tcPr>
          <w:p w14:paraId="54D4BCC9" w14:textId="77777777" w:rsidR="00553543" w:rsidRDefault="00584985">
            <w:pPr>
              <w:keepNext/>
              <w:pBdr>
                <w:top w:val="nil"/>
                <w:left w:val="nil"/>
                <w:bottom w:val="nil"/>
                <w:right w:val="nil"/>
                <w:between w:val="nil"/>
                <w:bar w:val="nil"/>
              </w:pBdr>
              <w:rPr>
                <w:color w:val="000000"/>
              </w:rPr>
            </w:pPr>
            <w:r>
              <w:rPr>
                <w:color w:val="000000"/>
              </w:rPr>
              <w:t>Average Ship Count (1)</w:t>
            </w:r>
          </w:p>
        </w:tc>
        <w:tc>
          <w:tcPr>
            <w:tcW w:w="80" w:type="pct"/>
            <w:tcBorders>
              <w:top w:val="nil"/>
              <w:left w:val="nil"/>
              <w:bottom w:val="nil"/>
              <w:right w:val="nil"/>
            </w:tcBorders>
            <w:shd w:val="clear" w:color="auto" w:fill="FFFFFF"/>
            <w:tcMar>
              <w:top w:w="0" w:type="dxa"/>
              <w:right w:w="0" w:type="dxa"/>
            </w:tcMar>
            <w:vAlign w:val="bottom"/>
          </w:tcPr>
          <w:p w14:paraId="005B3CB2" w14:textId="77777777" w:rsidR="00553543" w:rsidRDefault="00553543">
            <w:pPr>
              <w:keepNext/>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FFFFFF"/>
            <w:tcMar>
              <w:top w:w="0" w:type="dxa"/>
              <w:right w:w="0" w:type="dxa"/>
            </w:tcMar>
            <w:vAlign w:val="bottom"/>
          </w:tcPr>
          <w:p w14:paraId="47342BB1"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tcMar>
              <w:top w:w="0" w:type="dxa"/>
              <w:right w:w="0" w:type="dxa"/>
            </w:tcMar>
            <w:vAlign w:val="bottom"/>
          </w:tcPr>
          <w:p w14:paraId="377CF387" w14:textId="77777777" w:rsidR="00553543" w:rsidRDefault="00553543">
            <w:pPr>
              <w:keepNext/>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FFFFFF"/>
            <w:tcMar>
              <w:top w:w="0" w:type="dxa"/>
              <w:right w:w="0" w:type="dxa"/>
            </w:tcMar>
            <w:vAlign w:val="bottom"/>
          </w:tcPr>
          <w:p w14:paraId="4F975C2E" w14:textId="77777777" w:rsidR="00553543" w:rsidRDefault="00584985">
            <w:pPr>
              <w:keepNext/>
              <w:pBdr>
                <w:top w:val="nil"/>
                <w:left w:val="nil"/>
                <w:bottom w:val="nil"/>
                <w:right w:val="nil"/>
                <w:between w:val="nil"/>
                <w:bar w:val="nil"/>
              </w:pBdr>
              <w:jc w:val="right"/>
              <w:rPr>
                <w:color w:val="000000"/>
              </w:rPr>
            </w:pPr>
            <w:r>
              <w:rPr>
                <w:color w:val="000000"/>
              </w:rPr>
              <w:t>192</w:t>
            </w:r>
          </w:p>
        </w:tc>
        <w:tc>
          <w:tcPr>
            <w:tcW w:w="50" w:type="pct"/>
            <w:tcBorders>
              <w:top w:val="nil"/>
              <w:left w:val="nil"/>
              <w:bottom w:val="nil"/>
              <w:right w:val="nil"/>
            </w:tcBorders>
            <w:shd w:val="clear" w:color="auto" w:fill="FFFFFF"/>
            <w:tcMar>
              <w:top w:w="0" w:type="dxa"/>
              <w:right w:w="0" w:type="dxa"/>
            </w:tcMar>
            <w:vAlign w:val="bottom"/>
          </w:tcPr>
          <w:p w14:paraId="7CB83E41" w14:textId="77777777" w:rsidR="00553543" w:rsidRDefault="00553543">
            <w:pPr>
              <w:keepNext/>
              <w:pBdr>
                <w:top w:val="nil"/>
                <w:left w:val="nil"/>
                <w:bottom w:val="nil"/>
                <w:right w:val="nil"/>
                <w:between w:val="nil"/>
                <w:bar w:val="nil"/>
              </w:pBdr>
              <w:rPr>
                <w:color w:val="000000"/>
              </w:rPr>
            </w:pPr>
          </w:p>
        </w:tc>
        <w:tc>
          <w:tcPr>
            <w:tcW w:w="80" w:type="pct"/>
            <w:tcBorders>
              <w:top w:val="nil"/>
              <w:left w:val="nil"/>
              <w:bottom w:val="nil"/>
              <w:right w:val="nil"/>
            </w:tcBorders>
            <w:shd w:val="clear" w:color="auto" w:fill="FFFFFF"/>
            <w:tcMar>
              <w:top w:w="0" w:type="dxa"/>
              <w:right w:w="0" w:type="dxa"/>
            </w:tcMar>
            <w:vAlign w:val="bottom"/>
          </w:tcPr>
          <w:p w14:paraId="433932E2" w14:textId="77777777" w:rsidR="00553543" w:rsidRDefault="00553543">
            <w:pPr>
              <w:keepNext/>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FFFFFF"/>
            <w:tcMar>
              <w:top w:w="0" w:type="dxa"/>
              <w:right w:w="0" w:type="dxa"/>
            </w:tcMar>
            <w:vAlign w:val="bottom"/>
          </w:tcPr>
          <w:p w14:paraId="0461D7E7"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tcMar>
              <w:top w:w="0" w:type="dxa"/>
              <w:right w:w="0" w:type="dxa"/>
            </w:tcMar>
            <w:vAlign w:val="bottom"/>
          </w:tcPr>
          <w:p w14:paraId="38A47D8E" w14:textId="77777777" w:rsidR="00553543" w:rsidRDefault="00553543">
            <w:pPr>
              <w:keepNext/>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FFFFFF"/>
            <w:tcMar>
              <w:top w:w="0" w:type="dxa"/>
              <w:right w:w="0" w:type="dxa"/>
            </w:tcMar>
            <w:vAlign w:val="bottom"/>
          </w:tcPr>
          <w:p w14:paraId="197172C0" w14:textId="77777777" w:rsidR="00553543" w:rsidRDefault="00584985">
            <w:pPr>
              <w:keepNext/>
              <w:pBdr>
                <w:top w:val="nil"/>
                <w:left w:val="nil"/>
                <w:bottom w:val="nil"/>
                <w:right w:val="nil"/>
                <w:between w:val="nil"/>
                <w:bar w:val="nil"/>
              </w:pBdr>
              <w:jc w:val="right"/>
              <w:rPr>
                <w:color w:val="000000"/>
              </w:rPr>
            </w:pPr>
            <w:r>
              <w:rPr>
                <w:color w:val="000000"/>
              </w:rPr>
              <w:t>195</w:t>
            </w:r>
          </w:p>
        </w:tc>
        <w:tc>
          <w:tcPr>
            <w:tcW w:w="50" w:type="pct"/>
            <w:tcBorders>
              <w:top w:val="nil"/>
              <w:left w:val="nil"/>
              <w:bottom w:val="nil"/>
              <w:right w:val="nil"/>
            </w:tcBorders>
            <w:shd w:val="clear" w:color="auto" w:fill="FFFFFF"/>
            <w:tcMar>
              <w:top w:w="0" w:type="dxa"/>
              <w:right w:w="0" w:type="dxa"/>
            </w:tcMar>
            <w:vAlign w:val="bottom"/>
          </w:tcPr>
          <w:p w14:paraId="304BF223" w14:textId="77777777" w:rsidR="00553543" w:rsidRDefault="00553543">
            <w:pPr>
              <w:keepNext/>
              <w:pBdr>
                <w:top w:val="nil"/>
                <w:left w:val="nil"/>
                <w:bottom w:val="nil"/>
                <w:right w:val="nil"/>
                <w:between w:val="nil"/>
                <w:bar w:val="nil"/>
              </w:pBdr>
              <w:rPr>
                <w:color w:val="000000"/>
              </w:rPr>
            </w:pPr>
          </w:p>
        </w:tc>
      </w:tr>
      <w:tr w:rsidR="00553543" w14:paraId="7D3A1D50" w14:textId="77777777">
        <w:trPr>
          <w:jc w:val="center"/>
        </w:trPr>
        <w:tc>
          <w:tcPr>
            <w:tcW w:w="3304" w:type="pct"/>
            <w:tcBorders>
              <w:top w:val="nil"/>
              <w:left w:val="nil"/>
              <w:bottom w:val="nil"/>
              <w:right w:val="nil"/>
            </w:tcBorders>
            <w:shd w:val="clear" w:color="auto" w:fill="CFF0FC"/>
            <w:tcMar>
              <w:top w:w="0" w:type="dxa"/>
              <w:right w:w="0" w:type="dxa"/>
            </w:tcMar>
          </w:tcPr>
          <w:p w14:paraId="2B2E17A8" w14:textId="77777777" w:rsidR="00553543" w:rsidRDefault="00584985">
            <w:pPr>
              <w:keepNext/>
              <w:pBdr>
                <w:top w:val="nil"/>
                <w:left w:val="nil"/>
                <w:bottom w:val="nil"/>
                <w:right w:val="nil"/>
                <w:between w:val="nil"/>
                <w:bar w:val="nil"/>
              </w:pBdr>
              <w:rPr>
                <w:color w:val="000000"/>
              </w:rPr>
            </w:pPr>
            <w:r>
              <w:rPr>
                <w:color w:val="000000"/>
              </w:rPr>
              <w:t>Period End Resort Count</w:t>
            </w:r>
          </w:p>
        </w:tc>
        <w:tc>
          <w:tcPr>
            <w:tcW w:w="80" w:type="pct"/>
            <w:tcBorders>
              <w:top w:val="nil"/>
              <w:left w:val="nil"/>
              <w:bottom w:val="nil"/>
              <w:right w:val="nil"/>
            </w:tcBorders>
            <w:shd w:val="clear" w:color="auto" w:fill="CFF0FC"/>
            <w:tcMar>
              <w:top w:w="0" w:type="dxa"/>
              <w:right w:w="0" w:type="dxa"/>
            </w:tcMar>
            <w:vAlign w:val="bottom"/>
          </w:tcPr>
          <w:p w14:paraId="224E5416" w14:textId="77777777" w:rsidR="00553543" w:rsidRDefault="00553543">
            <w:pPr>
              <w:keepNext/>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CFF0FC"/>
            <w:tcMar>
              <w:top w:w="0" w:type="dxa"/>
              <w:right w:w="0" w:type="dxa"/>
            </w:tcMar>
            <w:vAlign w:val="bottom"/>
          </w:tcPr>
          <w:p w14:paraId="31FC917B"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tcMar>
              <w:top w:w="0" w:type="dxa"/>
              <w:right w:w="0" w:type="dxa"/>
            </w:tcMar>
            <w:vAlign w:val="bottom"/>
          </w:tcPr>
          <w:p w14:paraId="4165EC15" w14:textId="77777777" w:rsidR="00553543" w:rsidRDefault="00553543">
            <w:pPr>
              <w:keepNext/>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CFF0FC"/>
            <w:tcMar>
              <w:top w:w="0" w:type="dxa"/>
              <w:right w:w="0" w:type="dxa"/>
            </w:tcMar>
            <w:vAlign w:val="bottom"/>
          </w:tcPr>
          <w:p w14:paraId="7E1EB7A5" w14:textId="77777777" w:rsidR="00553543" w:rsidRDefault="00584985">
            <w:pPr>
              <w:keepNext/>
              <w:pBdr>
                <w:top w:val="nil"/>
                <w:left w:val="nil"/>
                <w:bottom w:val="nil"/>
                <w:right w:val="nil"/>
                <w:between w:val="nil"/>
                <w:bar w:val="nil"/>
              </w:pBdr>
              <w:jc w:val="right"/>
              <w:rPr>
                <w:color w:val="000000"/>
              </w:rPr>
            </w:pPr>
            <w:r>
              <w:rPr>
                <w:color w:val="000000"/>
              </w:rPr>
              <w:t>50</w:t>
            </w:r>
          </w:p>
        </w:tc>
        <w:tc>
          <w:tcPr>
            <w:tcW w:w="50" w:type="pct"/>
            <w:tcBorders>
              <w:top w:val="nil"/>
              <w:left w:val="nil"/>
              <w:bottom w:val="nil"/>
              <w:right w:val="nil"/>
            </w:tcBorders>
            <w:shd w:val="clear" w:color="auto" w:fill="CFF0FC"/>
            <w:tcMar>
              <w:top w:w="0" w:type="dxa"/>
              <w:right w:w="0" w:type="dxa"/>
            </w:tcMar>
            <w:vAlign w:val="bottom"/>
          </w:tcPr>
          <w:p w14:paraId="7B7822DC" w14:textId="77777777" w:rsidR="00553543" w:rsidRDefault="00553543">
            <w:pPr>
              <w:keepNext/>
              <w:pBdr>
                <w:top w:val="nil"/>
                <w:left w:val="nil"/>
                <w:bottom w:val="nil"/>
                <w:right w:val="nil"/>
                <w:between w:val="nil"/>
                <w:bar w:val="nil"/>
              </w:pBdr>
              <w:rPr>
                <w:color w:val="000000"/>
              </w:rPr>
            </w:pPr>
          </w:p>
        </w:tc>
        <w:tc>
          <w:tcPr>
            <w:tcW w:w="80" w:type="pct"/>
            <w:tcBorders>
              <w:top w:val="nil"/>
              <w:left w:val="nil"/>
              <w:bottom w:val="nil"/>
              <w:right w:val="nil"/>
            </w:tcBorders>
            <w:shd w:val="clear" w:color="auto" w:fill="CFF0FC"/>
            <w:tcMar>
              <w:top w:w="0" w:type="dxa"/>
              <w:right w:w="0" w:type="dxa"/>
            </w:tcMar>
            <w:vAlign w:val="bottom"/>
          </w:tcPr>
          <w:p w14:paraId="4ADE3DBE" w14:textId="77777777" w:rsidR="00553543" w:rsidRDefault="00553543">
            <w:pPr>
              <w:keepNext/>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CFF0FC"/>
            <w:tcMar>
              <w:top w:w="0" w:type="dxa"/>
              <w:right w:w="0" w:type="dxa"/>
            </w:tcMar>
            <w:vAlign w:val="bottom"/>
          </w:tcPr>
          <w:p w14:paraId="4AF38A8C" w14:textId="77777777" w:rsidR="00553543" w:rsidRDefault="00553543">
            <w:pPr>
              <w:keepNext/>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CFF0FC"/>
            <w:tcMar>
              <w:top w:w="0" w:type="dxa"/>
              <w:right w:w="0" w:type="dxa"/>
            </w:tcMar>
            <w:vAlign w:val="bottom"/>
          </w:tcPr>
          <w:p w14:paraId="7C17059B" w14:textId="77777777" w:rsidR="00553543" w:rsidRDefault="00553543">
            <w:pPr>
              <w:keepNext/>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CFF0FC"/>
            <w:tcMar>
              <w:top w:w="0" w:type="dxa"/>
              <w:right w:w="0" w:type="dxa"/>
            </w:tcMar>
            <w:vAlign w:val="bottom"/>
          </w:tcPr>
          <w:p w14:paraId="1A3F08F7" w14:textId="77777777" w:rsidR="00553543" w:rsidRDefault="00584985">
            <w:pPr>
              <w:keepNext/>
              <w:pBdr>
                <w:top w:val="nil"/>
                <w:left w:val="nil"/>
                <w:bottom w:val="nil"/>
                <w:right w:val="nil"/>
                <w:between w:val="nil"/>
                <w:bar w:val="nil"/>
              </w:pBdr>
              <w:jc w:val="right"/>
              <w:rPr>
                <w:color w:val="000000"/>
              </w:rPr>
            </w:pPr>
            <w:r>
              <w:rPr>
                <w:color w:val="000000"/>
              </w:rPr>
              <w:t>50</w:t>
            </w:r>
          </w:p>
        </w:tc>
        <w:tc>
          <w:tcPr>
            <w:tcW w:w="50" w:type="pct"/>
            <w:tcBorders>
              <w:top w:val="nil"/>
              <w:left w:val="nil"/>
              <w:bottom w:val="nil"/>
              <w:right w:val="nil"/>
            </w:tcBorders>
            <w:shd w:val="clear" w:color="auto" w:fill="CFF0FC"/>
            <w:tcMar>
              <w:top w:w="0" w:type="dxa"/>
              <w:right w:w="0" w:type="dxa"/>
            </w:tcMar>
            <w:vAlign w:val="bottom"/>
          </w:tcPr>
          <w:p w14:paraId="7F47B6BB" w14:textId="77777777" w:rsidR="00553543" w:rsidRDefault="00553543">
            <w:pPr>
              <w:keepNext/>
              <w:pBdr>
                <w:top w:val="nil"/>
                <w:left w:val="nil"/>
                <w:bottom w:val="nil"/>
                <w:right w:val="nil"/>
                <w:between w:val="nil"/>
                <w:bar w:val="nil"/>
              </w:pBdr>
              <w:rPr>
                <w:color w:val="000000"/>
              </w:rPr>
            </w:pPr>
          </w:p>
        </w:tc>
      </w:tr>
      <w:tr w:rsidR="00553543" w14:paraId="21D9FAFD" w14:textId="77777777">
        <w:trPr>
          <w:jc w:val="center"/>
        </w:trPr>
        <w:tc>
          <w:tcPr>
            <w:tcW w:w="3304" w:type="pct"/>
            <w:tcBorders>
              <w:top w:val="nil"/>
              <w:left w:val="nil"/>
              <w:bottom w:val="nil"/>
              <w:right w:val="nil"/>
            </w:tcBorders>
            <w:shd w:val="clear" w:color="auto" w:fill="FFFFFF"/>
            <w:tcMar>
              <w:top w:w="0" w:type="dxa"/>
              <w:right w:w="0" w:type="dxa"/>
            </w:tcMar>
          </w:tcPr>
          <w:p w14:paraId="39839028" w14:textId="77777777" w:rsidR="00553543" w:rsidRDefault="00584985">
            <w:pPr>
              <w:pBdr>
                <w:top w:val="nil"/>
                <w:left w:val="nil"/>
                <w:bottom w:val="nil"/>
                <w:right w:val="nil"/>
                <w:between w:val="nil"/>
                <w:bar w:val="nil"/>
              </w:pBdr>
              <w:rPr>
                <w:color w:val="000000"/>
              </w:rPr>
            </w:pPr>
            <w:r>
              <w:rPr>
                <w:color w:val="000000"/>
              </w:rPr>
              <w:t>Average Resort Count (3)</w:t>
            </w:r>
          </w:p>
        </w:tc>
        <w:tc>
          <w:tcPr>
            <w:tcW w:w="80" w:type="pct"/>
            <w:tcBorders>
              <w:top w:val="nil"/>
              <w:left w:val="nil"/>
              <w:bottom w:val="nil"/>
              <w:right w:val="nil"/>
            </w:tcBorders>
            <w:shd w:val="clear" w:color="auto" w:fill="FFFFFF"/>
            <w:tcMar>
              <w:top w:w="0" w:type="dxa"/>
              <w:right w:w="0" w:type="dxa"/>
            </w:tcMar>
            <w:vAlign w:val="bottom"/>
          </w:tcPr>
          <w:p w14:paraId="073E1F62" w14:textId="77777777" w:rsidR="00553543" w:rsidRDefault="00553543">
            <w:pPr>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FFFFFF"/>
            <w:tcMar>
              <w:top w:w="0" w:type="dxa"/>
              <w:right w:w="0" w:type="dxa"/>
            </w:tcMar>
            <w:vAlign w:val="bottom"/>
          </w:tcPr>
          <w:p w14:paraId="7546A5B3" w14:textId="77777777" w:rsidR="00553543" w:rsidRDefault="00553543">
            <w:pPr>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tcMar>
              <w:top w:w="0" w:type="dxa"/>
              <w:right w:w="0" w:type="dxa"/>
            </w:tcMar>
            <w:vAlign w:val="bottom"/>
          </w:tcPr>
          <w:p w14:paraId="324FBF96" w14:textId="77777777" w:rsidR="00553543" w:rsidRDefault="00553543">
            <w:pPr>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FFFFFF"/>
            <w:tcMar>
              <w:top w:w="0" w:type="dxa"/>
              <w:right w:w="0" w:type="dxa"/>
            </w:tcMar>
            <w:vAlign w:val="bottom"/>
          </w:tcPr>
          <w:p w14:paraId="3875A533" w14:textId="77777777" w:rsidR="00553543" w:rsidRDefault="00584985">
            <w:pPr>
              <w:pBdr>
                <w:top w:val="nil"/>
                <w:left w:val="nil"/>
                <w:bottom w:val="nil"/>
                <w:right w:val="nil"/>
                <w:between w:val="nil"/>
                <w:bar w:val="nil"/>
              </w:pBdr>
              <w:jc w:val="right"/>
              <w:rPr>
                <w:color w:val="000000"/>
              </w:rPr>
            </w:pPr>
            <w:r>
              <w:rPr>
                <w:color w:val="000000"/>
              </w:rPr>
              <w:t>50</w:t>
            </w:r>
          </w:p>
        </w:tc>
        <w:tc>
          <w:tcPr>
            <w:tcW w:w="50" w:type="pct"/>
            <w:tcBorders>
              <w:top w:val="nil"/>
              <w:left w:val="nil"/>
              <w:bottom w:val="nil"/>
              <w:right w:val="nil"/>
            </w:tcBorders>
            <w:shd w:val="clear" w:color="auto" w:fill="FFFFFF"/>
            <w:tcMar>
              <w:top w:w="0" w:type="dxa"/>
              <w:right w:w="0" w:type="dxa"/>
            </w:tcMar>
            <w:vAlign w:val="bottom"/>
          </w:tcPr>
          <w:p w14:paraId="144F68DA" w14:textId="77777777" w:rsidR="00553543" w:rsidRDefault="00553543">
            <w:pPr>
              <w:pBdr>
                <w:top w:val="nil"/>
                <w:left w:val="nil"/>
                <w:bottom w:val="nil"/>
                <w:right w:val="nil"/>
                <w:between w:val="nil"/>
                <w:bar w:val="nil"/>
              </w:pBdr>
              <w:rPr>
                <w:color w:val="000000"/>
              </w:rPr>
            </w:pPr>
          </w:p>
        </w:tc>
        <w:tc>
          <w:tcPr>
            <w:tcW w:w="80" w:type="pct"/>
            <w:tcBorders>
              <w:top w:val="nil"/>
              <w:left w:val="nil"/>
              <w:bottom w:val="nil"/>
              <w:right w:val="nil"/>
            </w:tcBorders>
            <w:shd w:val="clear" w:color="auto" w:fill="FFFFFF"/>
            <w:tcMar>
              <w:top w:w="0" w:type="dxa"/>
              <w:right w:w="0" w:type="dxa"/>
            </w:tcMar>
            <w:vAlign w:val="bottom"/>
          </w:tcPr>
          <w:p w14:paraId="45762612" w14:textId="77777777" w:rsidR="00553543" w:rsidRDefault="00553543">
            <w:pPr>
              <w:pBdr>
                <w:top w:val="nil"/>
                <w:left w:val="nil"/>
                <w:bottom w:val="nil"/>
                <w:right w:val="nil"/>
                <w:between w:val="nil"/>
                <w:bar w:val="nil"/>
              </w:pBdr>
              <w:rPr>
                <w:color w:val="000000"/>
              </w:rPr>
            </w:pPr>
          </w:p>
        </w:tc>
        <w:tc>
          <w:tcPr>
            <w:tcW w:w="57" w:type="pct"/>
            <w:tcBorders>
              <w:top w:val="nil"/>
              <w:left w:val="nil"/>
              <w:bottom w:val="nil"/>
              <w:right w:val="nil"/>
            </w:tcBorders>
            <w:shd w:val="clear" w:color="auto" w:fill="FFFFFF"/>
            <w:tcMar>
              <w:top w:w="0" w:type="dxa"/>
              <w:right w:w="0" w:type="dxa"/>
            </w:tcMar>
            <w:vAlign w:val="bottom"/>
          </w:tcPr>
          <w:p w14:paraId="609F6730" w14:textId="77777777" w:rsidR="00553543" w:rsidRDefault="00553543">
            <w:pPr>
              <w:pBdr>
                <w:top w:val="nil"/>
                <w:left w:val="nil"/>
                <w:bottom w:val="nil"/>
                <w:right w:val="nil"/>
                <w:between w:val="nil"/>
                <w:bar w:val="nil"/>
              </w:pBdr>
              <w:rPr>
                <w:color w:val="000000"/>
              </w:rPr>
            </w:pPr>
          </w:p>
        </w:tc>
        <w:tc>
          <w:tcPr>
            <w:tcW w:w="50" w:type="pct"/>
            <w:tcBorders>
              <w:top w:val="nil"/>
              <w:left w:val="nil"/>
              <w:bottom w:val="nil"/>
              <w:right w:val="nil"/>
            </w:tcBorders>
            <w:shd w:val="clear" w:color="auto" w:fill="FFFFFF"/>
            <w:tcMar>
              <w:top w:w="0" w:type="dxa"/>
              <w:right w:w="0" w:type="dxa"/>
            </w:tcMar>
            <w:vAlign w:val="bottom"/>
          </w:tcPr>
          <w:p w14:paraId="5E4696CB" w14:textId="77777777" w:rsidR="00553543" w:rsidRDefault="00553543">
            <w:pPr>
              <w:pBdr>
                <w:top w:val="nil"/>
                <w:left w:val="nil"/>
                <w:bottom w:val="nil"/>
                <w:right w:val="nil"/>
                <w:between w:val="nil"/>
                <w:bar w:val="nil"/>
              </w:pBdr>
              <w:rPr>
                <w:color w:val="000000"/>
              </w:rPr>
            </w:pPr>
          </w:p>
        </w:tc>
        <w:tc>
          <w:tcPr>
            <w:tcW w:w="611" w:type="pct"/>
            <w:tcBorders>
              <w:top w:val="nil"/>
              <w:left w:val="nil"/>
              <w:bottom w:val="nil"/>
              <w:right w:val="nil"/>
            </w:tcBorders>
            <w:shd w:val="clear" w:color="auto" w:fill="FFFFFF"/>
            <w:tcMar>
              <w:top w:w="0" w:type="dxa"/>
              <w:right w:w="0" w:type="dxa"/>
            </w:tcMar>
            <w:vAlign w:val="bottom"/>
          </w:tcPr>
          <w:p w14:paraId="5513DB56" w14:textId="77777777" w:rsidR="00553543" w:rsidRDefault="00584985">
            <w:pPr>
              <w:pBdr>
                <w:top w:val="nil"/>
                <w:left w:val="nil"/>
                <w:bottom w:val="nil"/>
                <w:right w:val="nil"/>
                <w:between w:val="nil"/>
                <w:bar w:val="nil"/>
              </w:pBdr>
              <w:jc w:val="right"/>
              <w:rPr>
                <w:color w:val="000000"/>
              </w:rPr>
            </w:pPr>
            <w:r>
              <w:rPr>
                <w:color w:val="000000"/>
              </w:rPr>
              <w:t>50</w:t>
            </w:r>
          </w:p>
        </w:tc>
        <w:tc>
          <w:tcPr>
            <w:tcW w:w="50" w:type="pct"/>
            <w:tcBorders>
              <w:top w:val="nil"/>
              <w:left w:val="nil"/>
              <w:bottom w:val="nil"/>
              <w:right w:val="nil"/>
            </w:tcBorders>
            <w:shd w:val="clear" w:color="auto" w:fill="FFFFFF"/>
            <w:tcMar>
              <w:top w:w="0" w:type="dxa"/>
              <w:right w:w="0" w:type="dxa"/>
            </w:tcMar>
            <w:vAlign w:val="bottom"/>
          </w:tcPr>
          <w:p w14:paraId="75D25A2A" w14:textId="77777777" w:rsidR="00553543" w:rsidRDefault="00553543">
            <w:pPr>
              <w:pBdr>
                <w:top w:val="nil"/>
                <w:left w:val="nil"/>
                <w:bottom w:val="nil"/>
                <w:right w:val="nil"/>
                <w:between w:val="nil"/>
                <w:bar w:val="nil"/>
              </w:pBdr>
              <w:rPr>
                <w:color w:val="000000"/>
              </w:rPr>
            </w:pPr>
          </w:p>
        </w:tc>
      </w:tr>
    </w:tbl>
    <w:p w14:paraId="427E8DF5" w14:textId="77777777" w:rsidR="00553543" w:rsidRDefault="00553543">
      <w:pPr>
        <w:pBdr>
          <w:top w:val="nil"/>
          <w:left w:val="nil"/>
          <w:bottom w:val="nil"/>
          <w:right w:val="nil"/>
          <w:between w:val="nil"/>
          <w:bar w:val="nil"/>
        </w:pBdr>
        <w:rPr>
          <w:b/>
          <w:color w:val="000000"/>
          <w:shd w:val="clear" w:color="auto" w:fill="FF0000"/>
        </w:rPr>
      </w:pPr>
    </w:p>
    <w:p w14:paraId="0C18C5E0" w14:textId="77777777" w:rsidR="00553543" w:rsidRDefault="00553543">
      <w:pPr>
        <w:pBdr>
          <w:top w:val="nil"/>
          <w:left w:val="nil"/>
          <w:bottom w:val="nil"/>
          <w:right w:val="nil"/>
          <w:between w:val="nil"/>
          <w:bar w:val="nil"/>
        </w:pBdr>
        <w:rPr>
          <w:b/>
          <w:color w:val="000000"/>
          <w:shd w:val="clear" w:color="auto" w:fil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7276"/>
        <w:gridCol w:w="177"/>
        <w:gridCol w:w="114"/>
        <w:gridCol w:w="1393"/>
        <w:gridCol w:w="108"/>
        <w:gridCol w:w="117"/>
        <w:gridCol w:w="114"/>
        <w:gridCol w:w="1393"/>
        <w:gridCol w:w="108"/>
      </w:tblGrid>
      <w:tr w:rsidR="00553543" w14:paraId="502D97EE" w14:textId="77777777">
        <w:trPr>
          <w:cantSplit/>
          <w:jc w:val="center"/>
        </w:trPr>
        <w:tc>
          <w:tcPr>
            <w:tcW w:w="3367" w:type="pct"/>
            <w:tcBorders>
              <w:top w:val="nil"/>
              <w:left w:val="nil"/>
              <w:bottom w:val="nil"/>
              <w:right w:val="nil"/>
            </w:tcBorders>
            <w:shd w:val="clear" w:color="auto" w:fill="FFFFFF"/>
            <w:vAlign w:val="bottom"/>
          </w:tcPr>
          <w:p w14:paraId="2D6BDBFF" w14:textId="77777777" w:rsidR="00553543" w:rsidRDefault="00553543">
            <w:pPr>
              <w:keepNext/>
              <w:pBdr>
                <w:top w:val="nil"/>
                <w:left w:val="nil"/>
                <w:bottom w:val="nil"/>
                <w:right w:val="nil"/>
                <w:between w:val="nil"/>
                <w:bar w:val="nil"/>
              </w:pBdr>
              <w:jc w:val="center"/>
              <w:rPr>
                <w:b/>
                <w:color w:val="000000"/>
              </w:rPr>
            </w:pPr>
          </w:p>
        </w:tc>
        <w:tc>
          <w:tcPr>
            <w:tcW w:w="82" w:type="pct"/>
            <w:tcBorders>
              <w:top w:val="nil"/>
              <w:left w:val="nil"/>
              <w:bottom w:val="nil"/>
              <w:right w:val="nil"/>
            </w:tcBorders>
            <w:shd w:val="clear" w:color="auto" w:fill="FFFFFF"/>
            <w:vAlign w:val="bottom"/>
          </w:tcPr>
          <w:p w14:paraId="1DE39344" w14:textId="77777777" w:rsidR="00553543" w:rsidRDefault="00553543">
            <w:pPr>
              <w:keepNext/>
              <w:pBdr>
                <w:top w:val="nil"/>
                <w:left w:val="nil"/>
                <w:bottom w:val="nil"/>
                <w:right w:val="nil"/>
                <w:between w:val="nil"/>
                <w:bar w:val="nil"/>
              </w:pBdr>
              <w:rPr>
                <w:b/>
                <w:color w:val="000000"/>
              </w:rPr>
            </w:pPr>
          </w:p>
        </w:tc>
        <w:tc>
          <w:tcPr>
            <w:tcW w:w="0" w:type="auto"/>
            <w:gridSpan w:val="6"/>
            <w:tcBorders>
              <w:top w:val="nil"/>
              <w:left w:val="nil"/>
              <w:bottom w:val="single" w:sz="4" w:space="0" w:color="000000"/>
              <w:right w:val="nil"/>
            </w:tcBorders>
            <w:shd w:val="clear" w:color="auto" w:fill="FFFFFF"/>
            <w:vAlign w:val="bottom"/>
          </w:tcPr>
          <w:p w14:paraId="3E955213" w14:textId="77777777" w:rsidR="00553543" w:rsidRDefault="00584985">
            <w:pPr>
              <w:keepNext/>
              <w:pBdr>
                <w:top w:val="nil"/>
                <w:left w:val="nil"/>
                <w:bottom w:val="nil"/>
                <w:right w:val="nil"/>
                <w:between w:val="nil"/>
                <w:bar w:val="nil"/>
              </w:pBdr>
              <w:jc w:val="center"/>
              <w:rPr>
                <w:b/>
                <w:color w:val="000000"/>
              </w:rPr>
            </w:pPr>
            <w:r>
              <w:rPr>
                <w:b/>
                <w:color w:val="000000"/>
              </w:rPr>
              <w:t>Three Months Ended</w:t>
            </w:r>
          </w:p>
        </w:tc>
        <w:tc>
          <w:tcPr>
            <w:tcW w:w="50" w:type="pct"/>
            <w:tcBorders>
              <w:top w:val="nil"/>
              <w:left w:val="nil"/>
              <w:bottom w:val="nil"/>
              <w:right w:val="nil"/>
            </w:tcBorders>
            <w:shd w:val="clear" w:color="auto" w:fill="FFFFFF"/>
            <w:vAlign w:val="bottom"/>
          </w:tcPr>
          <w:p w14:paraId="017A697D" w14:textId="77777777" w:rsidR="00553543" w:rsidRDefault="00553543">
            <w:pPr>
              <w:keepNext/>
              <w:pBdr>
                <w:top w:val="nil"/>
                <w:left w:val="nil"/>
                <w:bottom w:val="nil"/>
                <w:right w:val="nil"/>
                <w:between w:val="nil"/>
                <w:bar w:val="nil"/>
              </w:pBdr>
              <w:jc w:val="center"/>
              <w:rPr>
                <w:b/>
                <w:color w:val="000000"/>
              </w:rPr>
            </w:pPr>
          </w:p>
        </w:tc>
      </w:tr>
      <w:tr w:rsidR="00553543" w14:paraId="77CB652A" w14:textId="77777777">
        <w:trPr>
          <w:cantSplit/>
          <w:jc w:val="center"/>
        </w:trPr>
        <w:tc>
          <w:tcPr>
            <w:tcW w:w="3367" w:type="pct"/>
            <w:tcBorders>
              <w:top w:val="nil"/>
              <w:left w:val="nil"/>
              <w:bottom w:val="nil"/>
              <w:right w:val="nil"/>
            </w:tcBorders>
            <w:shd w:val="clear" w:color="auto" w:fill="FFFFFF"/>
            <w:vAlign w:val="bottom"/>
          </w:tcPr>
          <w:p w14:paraId="002A7629" w14:textId="77777777" w:rsidR="00553543" w:rsidRDefault="00553543">
            <w:pPr>
              <w:keepNext/>
              <w:pBdr>
                <w:top w:val="nil"/>
                <w:left w:val="nil"/>
                <w:bottom w:val="nil"/>
                <w:right w:val="nil"/>
                <w:between w:val="nil"/>
                <w:bar w:val="nil"/>
              </w:pBdr>
              <w:jc w:val="center"/>
              <w:rPr>
                <w:b/>
                <w:color w:val="000000"/>
              </w:rPr>
            </w:pPr>
          </w:p>
        </w:tc>
        <w:tc>
          <w:tcPr>
            <w:tcW w:w="82" w:type="pct"/>
            <w:tcBorders>
              <w:top w:val="nil"/>
              <w:left w:val="nil"/>
              <w:bottom w:val="nil"/>
              <w:right w:val="nil"/>
            </w:tcBorders>
            <w:shd w:val="clear" w:color="auto" w:fill="FFFFFF"/>
            <w:vAlign w:val="bottom"/>
          </w:tcPr>
          <w:p w14:paraId="7803A2A9" w14:textId="77777777" w:rsidR="00553543" w:rsidRDefault="00553543">
            <w:pPr>
              <w:keepNext/>
              <w:pBdr>
                <w:top w:val="nil"/>
                <w:left w:val="nil"/>
                <w:bottom w:val="nil"/>
                <w:right w:val="nil"/>
                <w:between w:val="nil"/>
                <w:bar w:val="nil"/>
              </w:pBdr>
              <w:rPr>
                <w:b/>
                <w:color w:val="000000"/>
              </w:rPr>
            </w:pPr>
          </w:p>
        </w:tc>
        <w:tc>
          <w:tcPr>
            <w:tcW w:w="0" w:type="auto"/>
            <w:gridSpan w:val="6"/>
            <w:tcBorders>
              <w:top w:val="single" w:sz="4" w:space="0" w:color="000000"/>
              <w:left w:val="nil"/>
              <w:bottom w:val="single" w:sz="4" w:space="0" w:color="000000"/>
              <w:right w:val="nil"/>
            </w:tcBorders>
            <w:shd w:val="clear" w:color="auto" w:fill="FFFFFF"/>
            <w:vAlign w:val="bottom"/>
          </w:tcPr>
          <w:p w14:paraId="3E842E33" w14:textId="77777777" w:rsidR="00553543" w:rsidRDefault="00584985">
            <w:pPr>
              <w:keepNext/>
              <w:pBdr>
                <w:top w:val="nil"/>
                <w:left w:val="nil"/>
                <w:bottom w:val="nil"/>
                <w:right w:val="nil"/>
                <w:between w:val="nil"/>
                <w:bar w:val="nil"/>
              </w:pBdr>
              <w:jc w:val="center"/>
              <w:rPr>
                <w:b/>
                <w:color w:val="000000"/>
              </w:rPr>
            </w:pPr>
            <w:r>
              <w:rPr>
                <w:b/>
                <w:color w:val="000000"/>
              </w:rPr>
              <w:t>March 31,</w:t>
            </w:r>
          </w:p>
        </w:tc>
        <w:tc>
          <w:tcPr>
            <w:tcW w:w="50" w:type="pct"/>
            <w:tcBorders>
              <w:top w:val="nil"/>
              <w:left w:val="nil"/>
              <w:bottom w:val="nil"/>
              <w:right w:val="nil"/>
            </w:tcBorders>
            <w:shd w:val="clear" w:color="auto" w:fill="FFFFFF"/>
            <w:vAlign w:val="bottom"/>
          </w:tcPr>
          <w:p w14:paraId="6FED25AE" w14:textId="77777777" w:rsidR="00553543" w:rsidRDefault="00553543">
            <w:pPr>
              <w:keepNext/>
              <w:pBdr>
                <w:top w:val="nil"/>
                <w:left w:val="nil"/>
                <w:bottom w:val="nil"/>
                <w:right w:val="nil"/>
                <w:between w:val="nil"/>
                <w:bar w:val="nil"/>
              </w:pBdr>
              <w:jc w:val="center"/>
              <w:rPr>
                <w:b/>
                <w:color w:val="000000"/>
              </w:rPr>
            </w:pPr>
          </w:p>
        </w:tc>
      </w:tr>
      <w:tr w:rsidR="00553543" w14:paraId="3D7E4365" w14:textId="77777777">
        <w:trPr>
          <w:cantSplit/>
          <w:jc w:val="center"/>
        </w:trPr>
        <w:tc>
          <w:tcPr>
            <w:tcW w:w="3367" w:type="pct"/>
            <w:tcBorders>
              <w:top w:val="nil"/>
              <w:left w:val="nil"/>
              <w:bottom w:val="nil"/>
              <w:right w:val="nil"/>
            </w:tcBorders>
            <w:shd w:val="clear" w:color="auto" w:fill="FFFFFF"/>
            <w:vAlign w:val="bottom"/>
          </w:tcPr>
          <w:p w14:paraId="50F4FE42" w14:textId="77777777" w:rsidR="00553543" w:rsidRDefault="00553543">
            <w:pPr>
              <w:keepNext/>
              <w:pBdr>
                <w:top w:val="nil"/>
                <w:left w:val="nil"/>
                <w:bottom w:val="nil"/>
                <w:right w:val="nil"/>
                <w:between w:val="nil"/>
                <w:bar w:val="nil"/>
              </w:pBdr>
              <w:jc w:val="center"/>
              <w:rPr>
                <w:b/>
                <w:color w:val="000000"/>
              </w:rPr>
            </w:pPr>
          </w:p>
        </w:tc>
        <w:tc>
          <w:tcPr>
            <w:tcW w:w="82" w:type="pct"/>
            <w:tcBorders>
              <w:top w:val="nil"/>
              <w:left w:val="nil"/>
              <w:bottom w:val="nil"/>
              <w:right w:val="nil"/>
            </w:tcBorders>
            <w:shd w:val="clear" w:color="auto" w:fill="FFFFFF"/>
            <w:vAlign w:val="bottom"/>
          </w:tcPr>
          <w:p w14:paraId="61CB0982" w14:textId="77777777" w:rsidR="00553543" w:rsidRDefault="00553543">
            <w:pPr>
              <w:keepNext/>
              <w:pBdr>
                <w:top w:val="nil"/>
                <w:left w:val="nil"/>
                <w:bottom w:val="nil"/>
                <w:right w:val="nil"/>
                <w:between w:val="nil"/>
                <w:bar w:val="nil"/>
              </w:pBd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4538B0C5" w14:textId="77777777" w:rsidR="00553543" w:rsidRDefault="00584985">
            <w:pPr>
              <w:keepNext/>
              <w:pBdr>
                <w:top w:val="nil"/>
                <w:left w:val="nil"/>
                <w:bottom w:val="nil"/>
                <w:right w:val="nil"/>
                <w:between w:val="nil"/>
                <w:bar w:val="nil"/>
              </w:pBdr>
              <w:jc w:val="center"/>
              <w:rPr>
                <w:b/>
                <w:color w:val="000000"/>
              </w:rPr>
            </w:pPr>
            <w:r>
              <w:rPr>
                <w:b/>
                <w:color w:val="000000"/>
              </w:rPr>
              <w:t>2025</w:t>
            </w:r>
          </w:p>
        </w:tc>
        <w:tc>
          <w:tcPr>
            <w:tcW w:w="50" w:type="pct"/>
            <w:tcBorders>
              <w:top w:val="nil"/>
              <w:left w:val="nil"/>
              <w:bottom w:val="nil"/>
              <w:right w:val="nil"/>
            </w:tcBorders>
            <w:shd w:val="clear" w:color="auto" w:fill="FFFFFF"/>
            <w:vAlign w:val="bottom"/>
          </w:tcPr>
          <w:p w14:paraId="2AE248AA" w14:textId="77777777" w:rsidR="00553543" w:rsidRDefault="00553543">
            <w:pPr>
              <w:keepNext/>
              <w:pBdr>
                <w:top w:val="nil"/>
                <w:left w:val="nil"/>
                <w:bottom w:val="nil"/>
                <w:right w:val="nil"/>
                <w:between w:val="nil"/>
                <w:bar w:val="nil"/>
              </w:pBdr>
              <w:jc w:val="center"/>
              <w:rPr>
                <w:b/>
                <w:color w:val="000000"/>
              </w:rPr>
            </w:pPr>
          </w:p>
        </w:tc>
        <w:tc>
          <w:tcPr>
            <w:tcW w:w="54" w:type="pct"/>
            <w:tcBorders>
              <w:top w:val="single" w:sz="4" w:space="0" w:color="000000"/>
              <w:left w:val="nil"/>
              <w:bottom w:val="single" w:sz="4" w:space="0" w:color="000000"/>
              <w:right w:val="nil"/>
            </w:tcBorders>
            <w:shd w:val="clear" w:color="auto" w:fill="FFFFFF"/>
            <w:vAlign w:val="bottom"/>
          </w:tcPr>
          <w:p w14:paraId="460A6618" w14:textId="77777777" w:rsidR="00553543" w:rsidRDefault="00553543">
            <w:pPr>
              <w:keepNext/>
              <w:pBdr>
                <w:top w:val="nil"/>
                <w:left w:val="nil"/>
                <w:bottom w:val="nil"/>
                <w:right w:val="nil"/>
                <w:between w:val="nil"/>
                <w:bar w:val="nil"/>
              </w:pBdr>
              <w:jc w:val="cente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17FB7360" w14:textId="77777777" w:rsidR="00553543" w:rsidRDefault="00584985">
            <w:pPr>
              <w:keepNext/>
              <w:pBdr>
                <w:top w:val="nil"/>
                <w:left w:val="nil"/>
                <w:bottom w:val="nil"/>
                <w:right w:val="nil"/>
                <w:between w:val="nil"/>
                <w:bar w:val="nil"/>
              </w:pBdr>
              <w:jc w:val="center"/>
              <w:rPr>
                <w:b/>
                <w:color w:val="000000"/>
              </w:rPr>
            </w:pPr>
            <w:r>
              <w:rPr>
                <w:b/>
                <w:color w:val="000000"/>
              </w:rPr>
              <w:t>2024</w:t>
            </w:r>
          </w:p>
        </w:tc>
        <w:tc>
          <w:tcPr>
            <w:tcW w:w="50" w:type="pct"/>
            <w:tcBorders>
              <w:top w:val="nil"/>
              <w:left w:val="nil"/>
              <w:bottom w:val="nil"/>
              <w:right w:val="nil"/>
            </w:tcBorders>
            <w:shd w:val="clear" w:color="auto" w:fill="FFFFFF"/>
            <w:vAlign w:val="bottom"/>
          </w:tcPr>
          <w:p w14:paraId="2485D662" w14:textId="77777777" w:rsidR="00553543" w:rsidRDefault="00553543">
            <w:pPr>
              <w:keepNext/>
              <w:pBdr>
                <w:top w:val="nil"/>
                <w:left w:val="nil"/>
                <w:bottom w:val="nil"/>
                <w:right w:val="nil"/>
                <w:between w:val="nil"/>
                <w:bar w:val="nil"/>
              </w:pBdr>
              <w:jc w:val="center"/>
              <w:rPr>
                <w:b/>
                <w:color w:val="000000"/>
              </w:rPr>
            </w:pPr>
          </w:p>
        </w:tc>
      </w:tr>
      <w:tr w:rsidR="00553543" w14:paraId="086DA87D" w14:textId="77777777">
        <w:trPr>
          <w:cantSplit/>
          <w:jc w:val="center"/>
        </w:trPr>
        <w:tc>
          <w:tcPr>
            <w:tcW w:w="3367" w:type="pct"/>
            <w:tcBorders>
              <w:top w:val="nil"/>
              <w:left w:val="nil"/>
              <w:bottom w:val="nil"/>
              <w:right w:val="nil"/>
            </w:tcBorders>
            <w:shd w:val="clear" w:color="auto" w:fill="CFF0FC"/>
          </w:tcPr>
          <w:p w14:paraId="2FEC52B5" w14:textId="77777777" w:rsidR="00553543" w:rsidRDefault="00584985">
            <w:pPr>
              <w:keepNext/>
              <w:pBdr>
                <w:top w:val="nil"/>
                <w:left w:val="nil"/>
                <w:bottom w:val="nil"/>
                <w:right w:val="nil"/>
                <w:between w:val="nil"/>
                <w:bar w:val="nil"/>
              </w:pBdr>
              <w:rPr>
                <w:b/>
                <w:color w:val="000000"/>
              </w:rPr>
            </w:pPr>
            <w:r>
              <w:rPr>
                <w:b/>
                <w:color w:val="000000"/>
              </w:rPr>
              <w:t>Selected Statistics</w:t>
            </w:r>
          </w:p>
        </w:tc>
        <w:tc>
          <w:tcPr>
            <w:tcW w:w="82" w:type="pct"/>
            <w:tcBorders>
              <w:top w:val="nil"/>
              <w:left w:val="nil"/>
              <w:bottom w:val="nil"/>
              <w:right w:val="nil"/>
            </w:tcBorders>
            <w:shd w:val="clear" w:color="auto" w:fill="CFF0FC"/>
            <w:vAlign w:val="bottom"/>
          </w:tcPr>
          <w:p w14:paraId="182DBB81" w14:textId="77777777" w:rsidR="00553543" w:rsidRDefault="00553543">
            <w:pPr>
              <w:keepNext/>
              <w:pBdr>
                <w:top w:val="nil"/>
                <w:left w:val="nil"/>
                <w:bottom w:val="nil"/>
                <w:right w:val="nil"/>
                <w:between w:val="nil"/>
                <w:bar w:val="nil"/>
              </w:pBdr>
              <w:rPr>
                <w:color w:val="000000"/>
              </w:rPr>
            </w:pPr>
          </w:p>
        </w:tc>
        <w:tc>
          <w:tcPr>
            <w:tcW w:w="0" w:type="auto"/>
            <w:gridSpan w:val="2"/>
            <w:tcBorders>
              <w:top w:val="single" w:sz="4" w:space="0" w:color="000000"/>
              <w:left w:val="nil"/>
              <w:bottom w:val="nil"/>
              <w:right w:val="nil"/>
            </w:tcBorders>
            <w:shd w:val="clear" w:color="auto" w:fill="CFF0FC"/>
            <w:vAlign w:val="bottom"/>
          </w:tcPr>
          <w:p w14:paraId="2D7EFDDC"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7BDDAB06" w14:textId="77777777" w:rsidR="00553543" w:rsidRDefault="00553543">
            <w:pPr>
              <w:keepNext/>
              <w:pBdr>
                <w:top w:val="nil"/>
                <w:left w:val="nil"/>
                <w:bottom w:val="nil"/>
                <w:right w:val="nil"/>
                <w:between w:val="nil"/>
                <w:bar w:val="nil"/>
              </w:pBdr>
              <w:jc w:val="right"/>
              <w:rPr>
                <w:color w:val="000000"/>
              </w:rPr>
            </w:pPr>
          </w:p>
        </w:tc>
        <w:tc>
          <w:tcPr>
            <w:tcW w:w="54" w:type="pct"/>
            <w:tcBorders>
              <w:top w:val="single" w:sz="4" w:space="0" w:color="000000"/>
              <w:left w:val="nil"/>
              <w:bottom w:val="nil"/>
              <w:right w:val="nil"/>
            </w:tcBorders>
            <w:shd w:val="clear" w:color="auto" w:fill="CFF0FC"/>
            <w:vAlign w:val="bottom"/>
          </w:tcPr>
          <w:p w14:paraId="01F6F7AD" w14:textId="77777777" w:rsidR="00553543" w:rsidRDefault="00553543">
            <w:pPr>
              <w:keepNext/>
              <w:pBdr>
                <w:top w:val="nil"/>
                <w:left w:val="nil"/>
                <w:bottom w:val="nil"/>
                <w:right w:val="nil"/>
                <w:between w:val="nil"/>
                <w:bar w:val="nil"/>
              </w:pBdr>
              <w:jc w:val="right"/>
              <w:rPr>
                <w:color w:val="000000"/>
              </w:rPr>
            </w:pPr>
          </w:p>
        </w:tc>
        <w:tc>
          <w:tcPr>
            <w:tcW w:w="0" w:type="auto"/>
            <w:gridSpan w:val="2"/>
            <w:tcBorders>
              <w:top w:val="single" w:sz="4" w:space="0" w:color="000000"/>
              <w:left w:val="nil"/>
              <w:bottom w:val="nil"/>
              <w:right w:val="nil"/>
            </w:tcBorders>
            <w:shd w:val="clear" w:color="auto" w:fill="CFF0FC"/>
            <w:vAlign w:val="bottom"/>
          </w:tcPr>
          <w:p w14:paraId="7A8849F0" w14:textId="77777777" w:rsidR="00553543" w:rsidRDefault="00553543">
            <w:pPr>
              <w:keepNext/>
              <w:pBdr>
                <w:top w:val="nil"/>
                <w:left w:val="nil"/>
                <w:bottom w:val="nil"/>
                <w:right w:val="nil"/>
                <w:between w:val="nil"/>
                <w:bar w:val="nil"/>
              </w:pBdr>
              <w:jc w:val="right"/>
              <w:rPr>
                <w:color w:val="000000"/>
              </w:rPr>
            </w:pPr>
          </w:p>
        </w:tc>
        <w:tc>
          <w:tcPr>
            <w:tcW w:w="50" w:type="pct"/>
            <w:tcBorders>
              <w:top w:val="nil"/>
              <w:left w:val="nil"/>
              <w:bottom w:val="nil"/>
              <w:right w:val="nil"/>
            </w:tcBorders>
            <w:shd w:val="clear" w:color="auto" w:fill="CFF0FC"/>
            <w:vAlign w:val="bottom"/>
          </w:tcPr>
          <w:p w14:paraId="59896ED4" w14:textId="77777777" w:rsidR="00553543" w:rsidRDefault="00553543">
            <w:pPr>
              <w:keepNext/>
              <w:pBdr>
                <w:top w:val="nil"/>
                <w:left w:val="nil"/>
                <w:bottom w:val="nil"/>
                <w:right w:val="nil"/>
                <w:between w:val="nil"/>
                <w:bar w:val="nil"/>
              </w:pBdr>
              <w:jc w:val="right"/>
              <w:rPr>
                <w:color w:val="000000"/>
              </w:rPr>
            </w:pPr>
          </w:p>
        </w:tc>
      </w:tr>
      <w:tr w:rsidR="00553543" w14:paraId="493FAB94" w14:textId="77777777">
        <w:trPr>
          <w:cantSplit/>
          <w:jc w:val="center"/>
        </w:trPr>
        <w:tc>
          <w:tcPr>
            <w:tcW w:w="3367" w:type="pct"/>
            <w:tcBorders>
              <w:top w:val="nil"/>
              <w:left w:val="nil"/>
              <w:bottom w:val="nil"/>
              <w:right w:val="nil"/>
            </w:tcBorders>
            <w:shd w:val="clear" w:color="auto" w:fill="FFFFFF"/>
          </w:tcPr>
          <w:p w14:paraId="71E58558" w14:textId="77777777" w:rsidR="00553543" w:rsidRDefault="00584985">
            <w:pPr>
              <w:keepNext/>
              <w:pBdr>
                <w:top w:val="nil"/>
                <w:left w:val="nil"/>
                <w:bottom w:val="nil"/>
                <w:right w:val="nil"/>
                <w:between w:val="nil"/>
                <w:bar w:val="nil"/>
              </w:pBdr>
              <w:rPr>
                <w:color w:val="000000"/>
              </w:rPr>
            </w:pPr>
            <w:r>
              <w:rPr>
                <w:color w:val="000000"/>
              </w:rPr>
              <w:t>Period End Ship Count</w:t>
            </w:r>
          </w:p>
        </w:tc>
        <w:tc>
          <w:tcPr>
            <w:tcW w:w="82" w:type="pct"/>
            <w:tcBorders>
              <w:top w:val="nil"/>
              <w:left w:val="nil"/>
              <w:bottom w:val="nil"/>
              <w:right w:val="nil"/>
            </w:tcBorders>
            <w:shd w:val="clear" w:color="auto" w:fill="FFFFFF"/>
            <w:vAlign w:val="bottom"/>
          </w:tcPr>
          <w:p w14:paraId="0D397B2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71375113"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722E3D09" w14:textId="77777777" w:rsidR="00553543" w:rsidRDefault="00584985">
            <w:pPr>
              <w:keepNext/>
              <w:pBdr>
                <w:top w:val="nil"/>
                <w:left w:val="nil"/>
                <w:bottom w:val="nil"/>
                <w:right w:val="nil"/>
                <w:between w:val="nil"/>
                <w:bar w:val="nil"/>
              </w:pBdr>
              <w:jc w:val="right"/>
              <w:rPr>
                <w:color w:val="000000"/>
              </w:rPr>
            </w:pPr>
            <w:r>
              <w:rPr>
                <w:color w:val="000000"/>
              </w:rPr>
              <w:t>199</w:t>
            </w:r>
          </w:p>
        </w:tc>
        <w:tc>
          <w:tcPr>
            <w:tcW w:w="50" w:type="pct"/>
            <w:tcBorders>
              <w:top w:val="nil"/>
              <w:left w:val="nil"/>
              <w:bottom w:val="nil"/>
              <w:right w:val="nil"/>
            </w:tcBorders>
            <w:shd w:val="clear" w:color="auto" w:fill="FFFFFF"/>
            <w:vAlign w:val="bottom"/>
          </w:tcPr>
          <w:p w14:paraId="72E87B47"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FFFFFF"/>
            <w:vAlign w:val="bottom"/>
          </w:tcPr>
          <w:p w14:paraId="5BCE3A1E"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FFFFFF"/>
            <w:vAlign w:val="bottom"/>
          </w:tcPr>
          <w:p w14:paraId="11987D53"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220C8643" w14:textId="77777777" w:rsidR="00553543" w:rsidRDefault="00584985">
            <w:pPr>
              <w:keepNext/>
              <w:pBdr>
                <w:top w:val="nil"/>
                <w:left w:val="nil"/>
                <w:bottom w:val="nil"/>
                <w:right w:val="nil"/>
                <w:between w:val="nil"/>
                <w:bar w:val="nil"/>
              </w:pBdr>
              <w:jc w:val="right"/>
              <w:rPr>
                <w:color w:val="000000"/>
              </w:rPr>
            </w:pPr>
            <w:r>
              <w:rPr>
                <w:color w:val="000000"/>
              </w:rPr>
              <w:t>193</w:t>
            </w:r>
          </w:p>
        </w:tc>
        <w:tc>
          <w:tcPr>
            <w:tcW w:w="50" w:type="pct"/>
            <w:tcBorders>
              <w:top w:val="nil"/>
              <w:left w:val="nil"/>
              <w:bottom w:val="nil"/>
              <w:right w:val="nil"/>
            </w:tcBorders>
            <w:shd w:val="clear" w:color="auto" w:fill="FFFFFF"/>
            <w:vAlign w:val="bottom"/>
          </w:tcPr>
          <w:p w14:paraId="55877927" w14:textId="77777777" w:rsidR="00553543" w:rsidRDefault="00553543">
            <w:pPr>
              <w:keepNext/>
              <w:pBdr>
                <w:top w:val="nil"/>
                <w:left w:val="nil"/>
                <w:bottom w:val="nil"/>
                <w:right w:val="nil"/>
                <w:between w:val="nil"/>
                <w:bar w:val="nil"/>
              </w:pBdr>
              <w:rPr>
                <w:color w:val="000000"/>
              </w:rPr>
            </w:pPr>
          </w:p>
        </w:tc>
      </w:tr>
      <w:tr w:rsidR="00553543" w14:paraId="41B1E608" w14:textId="77777777">
        <w:trPr>
          <w:cantSplit/>
          <w:jc w:val="center"/>
        </w:trPr>
        <w:tc>
          <w:tcPr>
            <w:tcW w:w="3367" w:type="pct"/>
            <w:tcBorders>
              <w:top w:val="nil"/>
              <w:left w:val="nil"/>
              <w:bottom w:val="nil"/>
              <w:right w:val="nil"/>
            </w:tcBorders>
            <w:shd w:val="clear" w:color="auto" w:fill="CFF0FC"/>
          </w:tcPr>
          <w:p w14:paraId="2AA62183" w14:textId="77777777" w:rsidR="00553543" w:rsidRDefault="00584985">
            <w:pPr>
              <w:keepNext/>
              <w:pBdr>
                <w:top w:val="nil"/>
                <w:left w:val="nil"/>
                <w:bottom w:val="nil"/>
                <w:right w:val="nil"/>
                <w:between w:val="nil"/>
                <w:bar w:val="nil"/>
              </w:pBdr>
              <w:rPr>
                <w:color w:val="000000"/>
              </w:rPr>
            </w:pPr>
            <w:r>
              <w:rPr>
                <w:color w:val="000000"/>
              </w:rPr>
              <w:t>Average Ship Count (1)</w:t>
            </w:r>
          </w:p>
        </w:tc>
        <w:tc>
          <w:tcPr>
            <w:tcW w:w="82" w:type="pct"/>
            <w:tcBorders>
              <w:top w:val="nil"/>
              <w:left w:val="nil"/>
              <w:bottom w:val="nil"/>
              <w:right w:val="nil"/>
            </w:tcBorders>
            <w:shd w:val="clear" w:color="auto" w:fill="CFF0FC"/>
            <w:vAlign w:val="bottom"/>
          </w:tcPr>
          <w:p w14:paraId="426062C6"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06BA2B03"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CFF0FC"/>
            <w:vAlign w:val="bottom"/>
          </w:tcPr>
          <w:p w14:paraId="2F10C6D7" w14:textId="77777777" w:rsidR="00553543" w:rsidRDefault="00584985">
            <w:pPr>
              <w:keepNext/>
              <w:pBdr>
                <w:top w:val="nil"/>
                <w:left w:val="nil"/>
                <w:bottom w:val="nil"/>
                <w:right w:val="nil"/>
                <w:between w:val="nil"/>
                <w:bar w:val="nil"/>
              </w:pBdr>
              <w:jc w:val="right"/>
              <w:rPr>
                <w:color w:val="000000"/>
              </w:rPr>
            </w:pPr>
            <w:r>
              <w:rPr>
                <w:color w:val="000000"/>
              </w:rPr>
              <w:t>193</w:t>
            </w:r>
          </w:p>
        </w:tc>
        <w:tc>
          <w:tcPr>
            <w:tcW w:w="50" w:type="pct"/>
            <w:tcBorders>
              <w:top w:val="nil"/>
              <w:left w:val="nil"/>
              <w:bottom w:val="nil"/>
              <w:right w:val="nil"/>
            </w:tcBorders>
            <w:shd w:val="clear" w:color="auto" w:fill="CFF0FC"/>
            <w:vAlign w:val="bottom"/>
          </w:tcPr>
          <w:p w14:paraId="31A8FB26"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CFF0FC"/>
            <w:vAlign w:val="bottom"/>
          </w:tcPr>
          <w:p w14:paraId="3AB7C0DD"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CFF0FC"/>
            <w:vAlign w:val="bottom"/>
          </w:tcPr>
          <w:p w14:paraId="366EB2E1"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CFF0FC"/>
            <w:vAlign w:val="bottom"/>
          </w:tcPr>
          <w:p w14:paraId="4FD13E59" w14:textId="77777777" w:rsidR="00553543" w:rsidRDefault="00584985">
            <w:pPr>
              <w:keepNext/>
              <w:pBdr>
                <w:top w:val="nil"/>
                <w:left w:val="nil"/>
                <w:bottom w:val="nil"/>
                <w:right w:val="nil"/>
                <w:between w:val="nil"/>
                <w:bar w:val="nil"/>
              </w:pBdr>
              <w:jc w:val="right"/>
              <w:rPr>
                <w:color w:val="000000"/>
              </w:rPr>
            </w:pPr>
            <w:r>
              <w:rPr>
                <w:color w:val="000000"/>
              </w:rPr>
              <w:t>188</w:t>
            </w:r>
          </w:p>
        </w:tc>
        <w:tc>
          <w:tcPr>
            <w:tcW w:w="50" w:type="pct"/>
            <w:tcBorders>
              <w:top w:val="nil"/>
              <w:left w:val="nil"/>
              <w:bottom w:val="nil"/>
              <w:right w:val="nil"/>
            </w:tcBorders>
            <w:shd w:val="clear" w:color="auto" w:fill="CFF0FC"/>
            <w:vAlign w:val="bottom"/>
          </w:tcPr>
          <w:p w14:paraId="2951C9A7" w14:textId="77777777" w:rsidR="00553543" w:rsidRDefault="00553543">
            <w:pPr>
              <w:keepNext/>
              <w:pBdr>
                <w:top w:val="nil"/>
                <w:left w:val="nil"/>
                <w:bottom w:val="nil"/>
                <w:right w:val="nil"/>
                <w:between w:val="nil"/>
                <w:bar w:val="nil"/>
              </w:pBdr>
              <w:rPr>
                <w:color w:val="000000"/>
              </w:rPr>
            </w:pPr>
          </w:p>
        </w:tc>
      </w:tr>
      <w:tr w:rsidR="00553543" w14:paraId="01D8C804" w14:textId="77777777">
        <w:trPr>
          <w:cantSplit/>
          <w:jc w:val="center"/>
        </w:trPr>
        <w:tc>
          <w:tcPr>
            <w:tcW w:w="3367" w:type="pct"/>
            <w:tcBorders>
              <w:top w:val="nil"/>
              <w:left w:val="nil"/>
              <w:bottom w:val="nil"/>
              <w:right w:val="nil"/>
            </w:tcBorders>
            <w:shd w:val="clear" w:color="auto" w:fill="FFFFFF"/>
          </w:tcPr>
          <w:p w14:paraId="60D29CFE" w14:textId="77777777" w:rsidR="00553543" w:rsidRDefault="00584985">
            <w:pPr>
              <w:keepNext/>
              <w:pBdr>
                <w:top w:val="nil"/>
                <w:left w:val="nil"/>
                <w:bottom w:val="nil"/>
                <w:right w:val="nil"/>
                <w:between w:val="nil"/>
                <w:bar w:val="nil"/>
              </w:pBdr>
              <w:rPr>
                <w:color w:val="000000"/>
              </w:rPr>
            </w:pPr>
            <w:r>
              <w:rPr>
                <w:color w:val="000000"/>
              </w:rPr>
              <w:t>Average Weekly Revenue Per Ship</w:t>
            </w:r>
          </w:p>
        </w:tc>
        <w:tc>
          <w:tcPr>
            <w:tcW w:w="82" w:type="pct"/>
            <w:tcBorders>
              <w:top w:val="nil"/>
              <w:left w:val="nil"/>
              <w:bottom w:val="nil"/>
              <w:right w:val="nil"/>
            </w:tcBorders>
            <w:shd w:val="clear" w:color="auto" w:fill="FFFFFF"/>
            <w:vAlign w:val="bottom"/>
          </w:tcPr>
          <w:p w14:paraId="0ADD9F2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7330788E"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FFFFFF"/>
            <w:vAlign w:val="bottom"/>
          </w:tcPr>
          <w:p w14:paraId="258DDF6A" w14:textId="77777777" w:rsidR="00553543" w:rsidRDefault="00584985">
            <w:pPr>
              <w:keepNext/>
              <w:pBdr>
                <w:top w:val="nil"/>
                <w:left w:val="nil"/>
                <w:bottom w:val="nil"/>
                <w:right w:val="nil"/>
                <w:between w:val="nil"/>
                <w:bar w:val="nil"/>
              </w:pBdr>
              <w:jc w:val="right"/>
              <w:rPr>
                <w:color w:val="000000"/>
              </w:rPr>
            </w:pPr>
            <w:r>
              <w:rPr>
                <w:color w:val="000000"/>
              </w:rPr>
              <w:t>84,177</w:t>
            </w:r>
          </w:p>
        </w:tc>
        <w:tc>
          <w:tcPr>
            <w:tcW w:w="50" w:type="pct"/>
            <w:tcBorders>
              <w:top w:val="nil"/>
              <w:left w:val="nil"/>
              <w:bottom w:val="nil"/>
              <w:right w:val="nil"/>
            </w:tcBorders>
            <w:shd w:val="clear" w:color="auto" w:fill="FFFFFF"/>
            <w:vAlign w:val="bottom"/>
          </w:tcPr>
          <w:p w14:paraId="4EC0BADA"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FFFFFF"/>
            <w:vAlign w:val="bottom"/>
          </w:tcPr>
          <w:p w14:paraId="52CD12C3"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FFFFFF"/>
            <w:vAlign w:val="bottom"/>
          </w:tcPr>
          <w:p w14:paraId="2055AD51"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FFFFFF"/>
            <w:vAlign w:val="bottom"/>
          </w:tcPr>
          <w:p w14:paraId="11E6B42D" w14:textId="77777777" w:rsidR="00553543" w:rsidRDefault="00584985">
            <w:pPr>
              <w:keepNext/>
              <w:pBdr>
                <w:top w:val="nil"/>
                <w:left w:val="nil"/>
                <w:bottom w:val="nil"/>
                <w:right w:val="nil"/>
                <w:between w:val="nil"/>
                <w:bar w:val="nil"/>
              </w:pBdr>
              <w:jc w:val="right"/>
              <w:rPr>
                <w:color w:val="000000"/>
              </w:rPr>
            </w:pPr>
            <w:r>
              <w:rPr>
                <w:color w:val="000000"/>
              </w:rPr>
              <w:t>81,708</w:t>
            </w:r>
          </w:p>
        </w:tc>
        <w:tc>
          <w:tcPr>
            <w:tcW w:w="50" w:type="pct"/>
            <w:tcBorders>
              <w:top w:val="nil"/>
              <w:left w:val="nil"/>
              <w:bottom w:val="nil"/>
              <w:right w:val="nil"/>
            </w:tcBorders>
            <w:shd w:val="clear" w:color="auto" w:fill="FFFFFF"/>
            <w:vAlign w:val="bottom"/>
          </w:tcPr>
          <w:p w14:paraId="5A9ADB38" w14:textId="77777777" w:rsidR="00553543" w:rsidRDefault="00553543">
            <w:pPr>
              <w:keepNext/>
              <w:pBdr>
                <w:top w:val="nil"/>
                <w:left w:val="nil"/>
                <w:bottom w:val="nil"/>
                <w:right w:val="nil"/>
                <w:between w:val="nil"/>
                <w:bar w:val="nil"/>
              </w:pBdr>
              <w:rPr>
                <w:color w:val="000000"/>
              </w:rPr>
            </w:pPr>
          </w:p>
        </w:tc>
      </w:tr>
      <w:tr w:rsidR="00553543" w14:paraId="14401F02" w14:textId="77777777">
        <w:trPr>
          <w:cantSplit/>
          <w:jc w:val="center"/>
        </w:trPr>
        <w:tc>
          <w:tcPr>
            <w:tcW w:w="3367" w:type="pct"/>
            <w:tcBorders>
              <w:top w:val="nil"/>
              <w:left w:val="nil"/>
              <w:bottom w:val="nil"/>
              <w:right w:val="nil"/>
            </w:tcBorders>
            <w:shd w:val="clear" w:color="auto" w:fill="CFF0FC"/>
          </w:tcPr>
          <w:p w14:paraId="747DFEAB" w14:textId="77777777" w:rsidR="00553543" w:rsidRDefault="00584985">
            <w:pPr>
              <w:keepNext/>
              <w:pBdr>
                <w:top w:val="nil"/>
                <w:left w:val="nil"/>
                <w:bottom w:val="nil"/>
                <w:right w:val="nil"/>
                <w:between w:val="nil"/>
                <w:bar w:val="nil"/>
              </w:pBdr>
              <w:rPr>
                <w:color w:val="000000"/>
              </w:rPr>
            </w:pPr>
            <w:r>
              <w:rPr>
                <w:color w:val="000000"/>
              </w:rPr>
              <w:t>Average Revenue Per Shipboard Staff Per Day</w:t>
            </w:r>
          </w:p>
        </w:tc>
        <w:tc>
          <w:tcPr>
            <w:tcW w:w="82" w:type="pct"/>
            <w:tcBorders>
              <w:top w:val="nil"/>
              <w:left w:val="nil"/>
              <w:bottom w:val="nil"/>
              <w:right w:val="nil"/>
            </w:tcBorders>
            <w:shd w:val="clear" w:color="auto" w:fill="CFF0FC"/>
            <w:vAlign w:val="bottom"/>
          </w:tcPr>
          <w:p w14:paraId="209FCF53"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2DE16E9B"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CFF0FC"/>
            <w:vAlign w:val="bottom"/>
          </w:tcPr>
          <w:p w14:paraId="3C5D06C7" w14:textId="77777777" w:rsidR="00553543" w:rsidRDefault="00584985">
            <w:pPr>
              <w:keepNext/>
              <w:pBdr>
                <w:top w:val="nil"/>
                <w:left w:val="nil"/>
                <w:bottom w:val="nil"/>
                <w:right w:val="nil"/>
                <w:between w:val="nil"/>
                <w:bar w:val="nil"/>
              </w:pBdr>
              <w:jc w:val="right"/>
              <w:rPr>
                <w:color w:val="000000"/>
              </w:rPr>
            </w:pPr>
            <w:r>
              <w:rPr>
                <w:color w:val="000000"/>
              </w:rPr>
              <w:t>562</w:t>
            </w:r>
          </w:p>
        </w:tc>
        <w:tc>
          <w:tcPr>
            <w:tcW w:w="50" w:type="pct"/>
            <w:tcBorders>
              <w:top w:val="nil"/>
              <w:left w:val="nil"/>
              <w:bottom w:val="nil"/>
              <w:right w:val="nil"/>
            </w:tcBorders>
            <w:shd w:val="clear" w:color="auto" w:fill="CFF0FC"/>
            <w:vAlign w:val="bottom"/>
          </w:tcPr>
          <w:p w14:paraId="57D9CB4C"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CFF0FC"/>
            <w:vAlign w:val="bottom"/>
          </w:tcPr>
          <w:p w14:paraId="5958F5A1"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CFF0FC"/>
            <w:vAlign w:val="bottom"/>
          </w:tcPr>
          <w:p w14:paraId="44D40538"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CFF0FC"/>
            <w:vAlign w:val="bottom"/>
          </w:tcPr>
          <w:p w14:paraId="14D9061F" w14:textId="77777777" w:rsidR="00553543" w:rsidRDefault="00584985">
            <w:pPr>
              <w:keepNext/>
              <w:pBdr>
                <w:top w:val="nil"/>
                <w:left w:val="nil"/>
                <w:bottom w:val="nil"/>
                <w:right w:val="nil"/>
                <w:between w:val="nil"/>
                <w:bar w:val="nil"/>
              </w:pBdr>
              <w:jc w:val="right"/>
              <w:rPr>
                <w:color w:val="000000"/>
              </w:rPr>
            </w:pPr>
            <w:r>
              <w:rPr>
                <w:color w:val="000000"/>
              </w:rPr>
              <w:t>549</w:t>
            </w:r>
          </w:p>
        </w:tc>
        <w:tc>
          <w:tcPr>
            <w:tcW w:w="50" w:type="pct"/>
            <w:tcBorders>
              <w:top w:val="nil"/>
              <w:left w:val="nil"/>
              <w:bottom w:val="nil"/>
              <w:right w:val="nil"/>
            </w:tcBorders>
            <w:shd w:val="clear" w:color="auto" w:fill="CFF0FC"/>
            <w:vAlign w:val="bottom"/>
          </w:tcPr>
          <w:p w14:paraId="64CC7F64" w14:textId="77777777" w:rsidR="00553543" w:rsidRDefault="00553543">
            <w:pPr>
              <w:keepNext/>
              <w:pBdr>
                <w:top w:val="nil"/>
                <w:left w:val="nil"/>
                <w:bottom w:val="nil"/>
                <w:right w:val="nil"/>
                <w:between w:val="nil"/>
                <w:bar w:val="nil"/>
              </w:pBdr>
              <w:rPr>
                <w:color w:val="000000"/>
              </w:rPr>
            </w:pPr>
          </w:p>
        </w:tc>
      </w:tr>
      <w:tr w:rsidR="00553543" w14:paraId="7D563C6B" w14:textId="77777777">
        <w:trPr>
          <w:cantSplit/>
          <w:jc w:val="center"/>
        </w:trPr>
        <w:tc>
          <w:tcPr>
            <w:tcW w:w="3367" w:type="pct"/>
            <w:tcBorders>
              <w:top w:val="nil"/>
              <w:left w:val="nil"/>
              <w:bottom w:val="nil"/>
              <w:right w:val="nil"/>
            </w:tcBorders>
            <w:shd w:val="clear" w:color="auto" w:fill="FFFFFF"/>
          </w:tcPr>
          <w:p w14:paraId="7AF256FB" w14:textId="77777777" w:rsidR="00553543" w:rsidRDefault="00584985">
            <w:pPr>
              <w:keepNext/>
              <w:pBdr>
                <w:top w:val="nil"/>
                <w:left w:val="nil"/>
                <w:bottom w:val="nil"/>
                <w:right w:val="nil"/>
                <w:between w:val="nil"/>
                <w:bar w:val="nil"/>
              </w:pBdr>
              <w:rPr>
                <w:color w:val="000000"/>
              </w:rPr>
            </w:pPr>
            <w:r>
              <w:rPr>
                <w:color w:val="000000"/>
              </w:rPr>
              <w:t>Revenue Days (2)</w:t>
            </w:r>
          </w:p>
        </w:tc>
        <w:tc>
          <w:tcPr>
            <w:tcW w:w="82" w:type="pct"/>
            <w:tcBorders>
              <w:top w:val="nil"/>
              <w:left w:val="nil"/>
              <w:bottom w:val="nil"/>
              <w:right w:val="nil"/>
            </w:tcBorders>
            <w:shd w:val="clear" w:color="auto" w:fill="FFFFFF"/>
            <w:vAlign w:val="bottom"/>
          </w:tcPr>
          <w:p w14:paraId="3DFFD16C"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1A11E7FD"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3BFDA0E3" w14:textId="77777777" w:rsidR="00553543" w:rsidRDefault="00584985">
            <w:pPr>
              <w:keepNext/>
              <w:pBdr>
                <w:top w:val="nil"/>
                <w:left w:val="nil"/>
                <w:bottom w:val="nil"/>
                <w:right w:val="nil"/>
                <w:between w:val="nil"/>
                <w:bar w:val="nil"/>
              </w:pBdr>
              <w:jc w:val="right"/>
              <w:rPr>
                <w:color w:val="000000"/>
              </w:rPr>
            </w:pPr>
            <w:r>
              <w:rPr>
                <w:color w:val="000000"/>
              </w:rPr>
              <w:t>17,401</w:t>
            </w:r>
          </w:p>
        </w:tc>
        <w:tc>
          <w:tcPr>
            <w:tcW w:w="50" w:type="pct"/>
            <w:tcBorders>
              <w:top w:val="nil"/>
              <w:left w:val="nil"/>
              <w:bottom w:val="nil"/>
              <w:right w:val="nil"/>
            </w:tcBorders>
            <w:shd w:val="clear" w:color="auto" w:fill="FFFFFF"/>
            <w:vAlign w:val="bottom"/>
          </w:tcPr>
          <w:p w14:paraId="0C12055A"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FFFFFF"/>
            <w:vAlign w:val="bottom"/>
          </w:tcPr>
          <w:p w14:paraId="2A63FBDA"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FFFFFF"/>
            <w:vAlign w:val="bottom"/>
          </w:tcPr>
          <w:p w14:paraId="58C1AFD6"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19839630" w14:textId="77777777" w:rsidR="00553543" w:rsidRDefault="00584985">
            <w:pPr>
              <w:keepNext/>
              <w:pBdr>
                <w:top w:val="nil"/>
                <w:left w:val="nil"/>
                <w:bottom w:val="nil"/>
                <w:right w:val="nil"/>
                <w:between w:val="nil"/>
                <w:bar w:val="nil"/>
              </w:pBdr>
              <w:jc w:val="right"/>
              <w:rPr>
                <w:color w:val="000000"/>
              </w:rPr>
            </w:pPr>
            <w:r>
              <w:rPr>
                <w:color w:val="000000"/>
              </w:rPr>
              <w:t>17,076</w:t>
            </w:r>
          </w:p>
        </w:tc>
        <w:tc>
          <w:tcPr>
            <w:tcW w:w="50" w:type="pct"/>
            <w:tcBorders>
              <w:top w:val="nil"/>
              <w:left w:val="nil"/>
              <w:bottom w:val="nil"/>
              <w:right w:val="nil"/>
            </w:tcBorders>
            <w:shd w:val="clear" w:color="auto" w:fill="FFFFFF"/>
            <w:vAlign w:val="bottom"/>
          </w:tcPr>
          <w:p w14:paraId="68256310" w14:textId="77777777" w:rsidR="00553543" w:rsidRDefault="00553543">
            <w:pPr>
              <w:keepNext/>
              <w:pBdr>
                <w:top w:val="nil"/>
                <w:left w:val="nil"/>
                <w:bottom w:val="nil"/>
                <w:right w:val="nil"/>
                <w:between w:val="nil"/>
                <w:bar w:val="nil"/>
              </w:pBdr>
              <w:rPr>
                <w:color w:val="000000"/>
              </w:rPr>
            </w:pPr>
          </w:p>
        </w:tc>
      </w:tr>
      <w:tr w:rsidR="00553543" w14:paraId="049A0415" w14:textId="77777777">
        <w:trPr>
          <w:cantSplit/>
          <w:jc w:val="center"/>
        </w:trPr>
        <w:tc>
          <w:tcPr>
            <w:tcW w:w="3367" w:type="pct"/>
            <w:tcBorders>
              <w:top w:val="nil"/>
              <w:left w:val="nil"/>
              <w:bottom w:val="nil"/>
              <w:right w:val="nil"/>
            </w:tcBorders>
            <w:shd w:val="clear" w:color="auto" w:fill="CFF0FC"/>
          </w:tcPr>
          <w:p w14:paraId="7058CC61" w14:textId="77777777" w:rsidR="00553543" w:rsidRDefault="00584985">
            <w:pPr>
              <w:keepNext/>
              <w:pBdr>
                <w:top w:val="nil"/>
                <w:left w:val="nil"/>
                <w:bottom w:val="nil"/>
                <w:right w:val="nil"/>
                <w:between w:val="nil"/>
                <w:bar w:val="nil"/>
              </w:pBdr>
              <w:rPr>
                <w:color w:val="000000"/>
              </w:rPr>
            </w:pPr>
            <w:r>
              <w:rPr>
                <w:color w:val="000000"/>
              </w:rPr>
              <w:t>Period End Resort Count</w:t>
            </w:r>
          </w:p>
        </w:tc>
        <w:tc>
          <w:tcPr>
            <w:tcW w:w="82" w:type="pct"/>
            <w:tcBorders>
              <w:top w:val="nil"/>
              <w:left w:val="nil"/>
              <w:bottom w:val="nil"/>
              <w:right w:val="nil"/>
            </w:tcBorders>
            <w:shd w:val="clear" w:color="auto" w:fill="CFF0FC"/>
            <w:vAlign w:val="bottom"/>
          </w:tcPr>
          <w:p w14:paraId="19A59AA7"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012AC46D"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CFF0FC"/>
            <w:vAlign w:val="bottom"/>
          </w:tcPr>
          <w:p w14:paraId="60BE2F36" w14:textId="77777777" w:rsidR="00553543" w:rsidRDefault="00584985">
            <w:pPr>
              <w:keepNext/>
              <w:pBdr>
                <w:top w:val="nil"/>
                <w:left w:val="nil"/>
                <w:bottom w:val="nil"/>
                <w:right w:val="nil"/>
                <w:between w:val="nil"/>
                <w:bar w:val="nil"/>
              </w:pBdr>
              <w:jc w:val="right"/>
              <w:rPr>
                <w:color w:val="000000"/>
              </w:rPr>
            </w:pPr>
            <w:r>
              <w:rPr>
                <w:color w:val="000000"/>
              </w:rPr>
              <w:t>50</w:t>
            </w:r>
          </w:p>
        </w:tc>
        <w:tc>
          <w:tcPr>
            <w:tcW w:w="50" w:type="pct"/>
            <w:tcBorders>
              <w:top w:val="nil"/>
              <w:left w:val="nil"/>
              <w:bottom w:val="nil"/>
              <w:right w:val="nil"/>
            </w:tcBorders>
            <w:shd w:val="clear" w:color="auto" w:fill="CFF0FC"/>
            <w:vAlign w:val="bottom"/>
          </w:tcPr>
          <w:p w14:paraId="7B260B7F"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CFF0FC"/>
            <w:vAlign w:val="bottom"/>
          </w:tcPr>
          <w:p w14:paraId="7D940D7B"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CFF0FC"/>
            <w:vAlign w:val="bottom"/>
          </w:tcPr>
          <w:p w14:paraId="33D61BC0"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CFF0FC"/>
            <w:vAlign w:val="bottom"/>
          </w:tcPr>
          <w:p w14:paraId="37F3562A" w14:textId="77777777" w:rsidR="00553543" w:rsidRDefault="00584985">
            <w:pPr>
              <w:keepNext/>
              <w:pBdr>
                <w:top w:val="nil"/>
                <w:left w:val="nil"/>
                <w:bottom w:val="nil"/>
                <w:right w:val="nil"/>
                <w:between w:val="nil"/>
                <w:bar w:val="nil"/>
              </w:pBdr>
              <w:jc w:val="right"/>
              <w:rPr>
                <w:color w:val="000000"/>
              </w:rPr>
            </w:pPr>
            <w:r>
              <w:rPr>
                <w:color w:val="000000"/>
              </w:rPr>
              <w:t>51</w:t>
            </w:r>
          </w:p>
        </w:tc>
        <w:tc>
          <w:tcPr>
            <w:tcW w:w="50" w:type="pct"/>
            <w:tcBorders>
              <w:top w:val="nil"/>
              <w:left w:val="nil"/>
              <w:bottom w:val="nil"/>
              <w:right w:val="nil"/>
            </w:tcBorders>
            <w:shd w:val="clear" w:color="auto" w:fill="CFF0FC"/>
            <w:vAlign w:val="bottom"/>
          </w:tcPr>
          <w:p w14:paraId="0D3D52B1" w14:textId="77777777" w:rsidR="00553543" w:rsidRDefault="00553543">
            <w:pPr>
              <w:keepNext/>
              <w:pBdr>
                <w:top w:val="nil"/>
                <w:left w:val="nil"/>
                <w:bottom w:val="nil"/>
                <w:right w:val="nil"/>
                <w:between w:val="nil"/>
                <w:bar w:val="nil"/>
              </w:pBdr>
              <w:rPr>
                <w:color w:val="000000"/>
              </w:rPr>
            </w:pPr>
          </w:p>
        </w:tc>
      </w:tr>
      <w:tr w:rsidR="00553543" w14:paraId="1DE81F80" w14:textId="77777777">
        <w:trPr>
          <w:cantSplit/>
          <w:jc w:val="center"/>
        </w:trPr>
        <w:tc>
          <w:tcPr>
            <w:tcW w:w="3367" w:type="pct"/>
            <w:tcBorders>
              <w:top w:val="nil"/>
              <w:left w:val="nil"/>
              <w:bottom w:val="nil"/>
              <w:right w:val="nil"/>
            </w:tcBorders>
            <w:shd w:val="clear" w:color="auto" w:fill="FFFFFF"/>
          </w:tcPr>
          <w:p w14:paraId="239B3A73" w14:textId="77777777" w:rsidR="00553543" w:rsidRDefault="00584985">
            <w:pPr>
              <w:keepNext/>
              <w:pBdr>
                <w:top w:val="nil"/>
                <w:left w:val="nil"/>
                <w:bottom w:val="nil"/>
                <w:right w:val="nil"/>
                <w:between w:val="nil"/>
                <w:bar w:val="nil"/>
              </w:pBdr>
              <w:rPr>
                <w:color w:val="000000"/>
              </w:rPr>
            </w:pPr>
            <w:r>
              <w:rPr>
                <w:color w:val="000000"/>
              </w:rPr>
              <w:t>Average Resort Count (3)</w:t>
            </w:r>
          </w:p>
        </w:tc>
        <w:tc>
          <w:tcPr>
            <w:tcW w:w="82" w:type="pct"/>
            <w:tcBorders>
              <w:top w:val="nil"/>
              <w:left w:val="nil"/>
              <w:bottom w:val="nil"/>
              <w:right w:val="nil"/>
            </w:tcBorders>
            <w:shd w:val="clear" w:color="auto" w:fill="FFFFFF"/>
            <w:vAlign w:val="bottom"/>
          </w:tcPr>
          <w:p w14:paraId="151E16A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3E59074C"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7879D2A3" w14:textId="77777777" w:rsidR="00553543" w:rsidRDefault="00584985">
            <w:pPr>
              <w:keepNext/>
              <w:pBdr>
                <w:top w:val="nil"/>
                <w:left w:val="nil"/>
                <w:bottom w:val="nil"/>
                <w:right w:val="nil"/>
                <w:between w:val="nil"/>
                <w:bar w:val="nil"/>
              </w:pBdr>
              <w:jc w:val="right"/>
              <w:rPr>
                <w:color w:val="000000"/>
              </w:rPr>
            </w:pPr>
            <w:r>
              <w:rPr>
                <w:color w:val="000000"/>
              </w:rPr>
              <w:t>49</w:t>
            </w:r>
          </w:p>
        </w:tc>
        <w:tc>
          <w:tcPr>
            <w:tcW w:w="50" w:type="pct"/>
            <w:tcBorders>
              <w:top w:val="nil"/>
              <w:left w:val="nil"/>
              <w:bottom w:val="nil"/>
              <w:right w:val="nil"/>
            </w:tcBorders>
            <w:shd w:val="clear" w:color="auto" w:fill="FFFFFF"/>
            <w:vAlign w:val="bottom"/>
          </w:tcPr>
          <w:p w14:paraId="7492A3DC"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FFFFFF"/>
            <w:vAlign w:val="bottom"/>
          </w:tcPr>
          <w:p w14:paraId="38A51773"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FFFFFF"/>
            <w:vAlign w:val="bottom"/>
          </w:tcPr>
          <w:p w14:paraId="3081593D" w14:textId="77777777" w:rsidR="00553543" w:rsidRDefault="00553543">
            <w:pPr>
              <w:keepNext/>
              <w:pBdr>
                <w:top w:val="nil"/>
                <w:left w:val="nil"/>
                <w:bottom w:val="nil"/>
                <w:right w:val="nil"/>
                <w:between w:val="nil"/>
                <w:bar w:val="nil"/>
              </w:pBdr>
              <w:rPr>
                <w:color w:val="000000"/>
              </w:rPr>
            </w:pPr>
          </w:p>
        </w:tc>
        <w:tc>
          <w:tcPr>
            <w:tcW w:w="645" w:type="pct"/>
            <w:tcBorders>
              <w:top w:val="nil"/>
              <w:left w:val="nil"/>
              <w:bottom w:val="nil"/>
              <w:right w:val="nil"/>
            </w:tcBorders>
            <w:shd w:val="clear" w:color="auto" w:fill="FFFFFF"/>
            <w:vAlign w:val="bottom"/>
          </w:tcPr>
          <w:p w14:paraId="6D49576B" w14:textId="77777777" w:rsidR="00553543" w:rsidRDefault="00584985">
            <w:pPr>
              <w:keepNext/>
              <w:pBdr>
                <w:top w:val="nil"/>
                <w:left w:val="nil"/>
                <w:bottom w:val="nil"/>
                <w:right w:val="nil"/>
                <w:between w:val="nil"/>
                <w:bar w:val="nil"/>
              </w:pBdr>
              <w:jc w:val="right"/>
              <w:rPr>
                <w:color w:val="000000"/>
              </w:rPr>
            </w:pPr>
            <w:r>
              <w:rPr>
                <w:color w:val="000000"/>
              </w:rPr>
              <w:t>51</w:t>
            </w:r>
          </w:p>
        </w:tc>
        <w:tc>
          <w:tcPr>
            <w:tcW w:w="50" w:type="pct"/>
            <w:tcBorders>
              <w:top w:val="nil"/>
              <w:left w:val="nil"/>
              <w:bottom w:val="nil"/>
              <w:right w:val="nil"/>
            </w:tcBorders>
            <w:shd w:val="clear" w:color="auto" w:fill="FFFFFF"/>
            <w:vAlign w:val="bottom"/>
          </w:tcPr>
          <w:p w14:paraId="31AB910B" w14:textId="77777777" w:rsidR="00553543" w:rsidRDefault="00553543">
            <w:pPr>
              <w:keepNext/>
              <w:pBdr>
                <w:top w:val="nil"/>
                <w:left w:val="nil"/>
                <w:bottom w:val="nil"/>
                <w:right w:val="nil"/>
                <w:between w:val="nil"/>
                <w:bar w:val="nil"/>
              </w:pBdr>
              <w:rPr>
                <w:color w:val="000000"/>
              </w:rPr>
            </w:pPr>
          </w:p>
        </w:tc>
      </w:tr>
      <w:tr w:rsidR="00553543" w14:paraId="546828EE" w14:textId="77777777">
        <w:trPr>
          <w:cantSplit/>
          <w:jc w:val="center"/>
        </w:trPr>
        <w:tc>
          <w:tcPr>
            <w:tcW w:w="3367" w:type="pct"/>
            <w:tcBorders>
              <w:top w:val="nil"/>
              <w:left w:val="nil"/>
              <w:bottom w:val="nil"/>
              <w:right w:val="nil"/>
            </w:tcBorders>
            <w:shd w:val="clear" w:color="auto" w:fill="CFF0FC"/>
          </w:tcPr>
          <w:p w14:paraId="6D0D366E" w14:textId="77777777" w:rsidR="00553543" w:rsidRDefault="00584985">
            <w:pPr>
              <w:keepNext/>
              <w:pBdr>
                <w:top w:val="nil"/>
                <w:left w:val="nil"/>
                <w:bottom w:val="nil"/>
                <w:right w:val="nil"/>
                <w:between w:val="nil"/>
                <w:bar w:val="nil"/>
              </w:pBdr>
              <w:rPr>
                <w:color w:val="000000"/>
              </w:rPr>
            </w:pPr>
            <w:r>
              <w:rPr>
                <w:color w:val="000000"/>
              </w:rPr>
              <w:t>Average Weekly Revenue Per Resort</w:t>
            </w:r>
          </w:p>
        </w:tc>
        <w:tc>
          <w:tcPr>
            <w:tcW w:w="82" w:type="pct"/>
            <w:tcBorders>
              <w:top w:val="nil"/>
              <w:left w:val="nil"/>
              <w:bottom w:val="nil"/>
              <w:right w:val="nil"/>
            </w:tcBorders>
            <w:shd w:val="clear" w:color="auto" w:fill="CFF0FC"/>
            <w:vAlign w:val="bottom"/>
          </w:tcPr>
          <w:p w14:paraId="2EEE1E5C"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000F87C4"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CFF0FC"/>
            <w:vAlign w:val="bottom"/>
          </w:tcPr>
          <w:p w14:paraId="6ED82398" w14:textId="77777777" w:rsidR="00553543" w:rsidRDefault="00584985">
            <w:pPr>
              <w:keepNext/>
              <w:pBdr>
                <w:top w:val="nil"/>
                <w:left w:val="nil"/>
                <w:bottom w:val="nil"/>
                <w:right w:val="nil"/>
                <w:between w:val="nil"/>
                <w:bar w:val="nil"/>
              </w:pBdr>
              <w:jc w:val="right"/>
              <w:rPr>
                <w:color w:val="000000"/>
              </w:rPr>
            </w:pPr>
            <w:r>
              <w:rPr>
                <w:color w:val="000000"/>
              </w:rPr>
              <w:t>15,247</w:t>
            </w:r>
          </w:p>
        </w:tc>
        <w:tc>
          <w:tcPr>
            <w:tcW w:w="50" w:type="pct"/>
            <w:tcBorders>
              <w:top w:val="nil"/>
              <w:left w:val="nil"/>
              <w:bottom w:val="nil"/>
              <w:right w:val="nil"/>
            </w:tcBorders>
            <w:shd w:val="clear" w:color="auto" w:fill="CFF0FC"/>
            <w:vAlign w:val="bottom"/>
          </w:tcPr>
          <w:p w14:paraId="74DA83AA" w14:textId="77777777" w:rsidR="00553543" w:rsidRDefault="00553543">
            <w:pPr>
              <w:keepNext/>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CFF0FC"/>
            <w:vAlign w:val="bottom"/>
          </w:tcPr>
          <w:p w14:paraId="7DFA0B90" w14:textId="77777777" w:rsidR="00553543" w:rsidRDefault="00553543">
            <w:pPr>
              <w:keepNext/>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CFF0FC"/>
            <w:vAlign w:val="bottom"/>
          </w:tcPr>
          <w:p w14:paraId="7C9A886C" w14:textId="77777777" w:rsidR="00553543" w:rsidRDefault="00584985">
            <w:pPr>
              <w:keepNext/>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CFF0FC"/>
            <w:vAlign w:val="bottom"/>
          </w:tcPr>
          <w:p w14:paraId="4F7093D7" w14:textId="77777777" w:rsidR="00553543" w:rsidRDefault="00584985">
            <w:pPr>
              <w:keepNext/>
              <w:pBdr>
                <w:top w:val="nil"/>
                <w:left w:val="nil"/>
                <w:bottom w:val="nil"/>
                <w:right w:val="nil"/>
                <w:between w:val="nil"/>
                <w:bar w:val="nil"/>
              </w:pBdr>
              <w:jc w:val="right"/>
              <w:rPr>
                <w:color w:val="000000"/>
              </w:rPr>
            </w:pPr>
            <w:r>
              <w:rPr>
                <w:color w:val="000000"/>
              </w:rPr>
              <w:t>16,791</w:t>
            </w:r>
          </w:p>
        </w:tc>
        <w:tc>
          <w:tcPr>
            <w:tcW w:w="50" w:type="pct"/>
            <w:tcBorders>
              <w:top w:val="nil"/>
              <w:left w:val="nil"/>
              <w:bottom w:val="nil"/>
              <w:right w:val="nil"/>
            </w:tcBorders>
            <w:shd w:val="clear" w:color="auto" w:fill="CFF0FC"/>
            <w:vAlign w:val="bottom"/>
          </w:tcPr>
          <w:p w14:paraId="2CE47BA5" w14:textId="77777777" w:rsidR="00553543" w:rsidRDefault="00553543">
            <w:pPr>
              <w:keepNext/>
              <w:pBdr>
                <w:top w:val="nil"/>
                <w:left w:val="nil"/>
                <w:bottom w:val="nil"/>
                <w:right w:val="nil"/>
                <w:between w:val="nil"/>
                <w:bar w:val="nil"/>
              </w:pBdr>
              <w:rPr>
                <w:color w:val="000000"/>
              </w:rPr>
            </w:pPr>
          </w:p>
        </w:tc>
      </w:tr>
      <w:tr w:rsidR="00553543" w14:paraId="3D5793C0" w14:textId="77777777">
        <w:trPr>
          <w:cantSplit/>
          <w:jc w:val="center"/>
        </w:trPr>
        <w:tc>
          <w:tcPr>
            <w:tcW w:w="3367" w:type="pct"/>
            <w:tcBorders>
              <w:top w:val="nil"/>
              <w:left w:val="nil"/>
              <w:bottom w:val="nil"/>
              <w:right w:val="nil"/>
            </w:tcBorders>
            <w:shd w:val="clear" w:color="auto" w:fill="FFFFFF"/>
          </w:tcPr>
          <w:p w14:paraId="3AF710F2" w14:textId="77777777" w:rsidR="00553543" w:rsidRDefault="00584985">
            <w:pPr>
              <w:pBdr>
                <w:top w:val="nil"/>
                <w:left w:val="nil"/>
                <w:bottom w:val="nil"/>
                <w:right w:val="nil"/>
                <w:between w:val="nil"/>
                <w:bar w:val="nil"/>
              </w:pBdr>
              <w:rPr>
                <w:color w:val="000000"/>
              </w:rPr>
            </w:pPr>
            <w:r>
              <w:rPr>
                <w:color w:val="000000"/>
              </w:rPr>
              <w:t>Capital Expenditures (in thousands)</w:t>
            </w:r>
          </w:p>
        </w:tc>
        <w:tc>
          <w:tcPr>
            <w:tcW w:w="82" w:type="pct"/>
            <w:tcBorders>
              <w:top w:val="nil"/>
              <w:left w:val="nil"/>
              <w:bottom w:val="nil"/>
              <w:right w:val="nil"/>
            </w:tcBorders>
            <w:shd w:val="clear" w:color="auto" w:fill="FFFFFF"/>
            <w:vAlign w:val="bottom"/>
          </w:tcPr>
          <w:p w14:paraId="3351EFA1" w14:textId="77777777" w:rsidR="00553543" w:rsidRDefault="00553543">
            <w:pPr>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6962B38D" w14:textId="77777777" w:rsidR="00553543" w:rsidRDefault="00584985">
            <w:pPr>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FFFFFF"/>
            <w:vAlign w:val="bottom"/>
          </w:tcPr>
          <w:p w14:paraId="0A8F0DAE" w14:textId="77777777" w:rsidR="00553543" w:rsidRDefault="00584985">
            <w:pPr>
              <w:pBdr>
                <w:top w:val="nil"/>
                <w:left w:val="nil"/>
                <w:bottom w:val="nil"/>
                <w:right w:val="nil"/>
                <w:between w:val="nil"/>
                <w:bar w:val="nil"/>
              </w:pBdr>
              <w:jc w:val="right"/>
              <w:rPr>
                <w:color w:val="000000"/>
              </w:rPr>
            </w:pPr>
            <w:r>
              <w:rPr>
                <w:color w:val="000000"/>
              </w:rPr>
              <w:t>1,697</w:t>
            </w:r>
          </w:p>
        </w:tc>
        <w:tc>
          <w:tcPr>
            <w:tcW w:w="50" w:type="pct"/>
            <w:tcBorders>
              <w:top w:val="nil"/>
              <w:left w:val="nil"/>
              <w:bottom w:val="nil"/>
              <w:right w:val="nil"/>
            </w:tcBorders>
            <w:shd w:val="clear" w:color="auto" w:fill="FFFFFF"/>
            <w:vAlign w:val="bottom"/>
          </w:tcPr>
          <w:p w14:paraId="2D0C7D71" w14:textId="77777777" w:rsidR="00553543" w:rsidRDefault="00553543">
            <w:pPr>
              <w:pBdr>
                <w:top w:val="nil"/>
                <w:left w:val="nil"/>
                <w:bottom w:val="nil"/>
                <w:right w:val="nil"/>
                <w:between w:val="nil"/>
                <w:bar w:val="nil"/>
              </w:pBdr>
              <w:rPr>
                <w:color w:val="000000"/>
              </w:rPr>
            </w:pPr>
          </w:p>
        </w:tc>
        <w:tc>
          <w:tcPr>
            <w:tcW w:w="54" w:type="pct"/>
            <w:tcBorders>
              <w:top w:val="nil"/>
              <w:left w:val="nil"/>
              <w:bottom w:val="nil"/>
              <w:right w:val="nil"/>
            </w:tcBorders>
            <w:shd w:val="clear" w:color="auto" w:fill="FFFFFF"/>
            <w:vAlign w:val="bottom"/>
          </w:tcPr>
          <w:p w14:paraId="5335187D" w14:textId="77777777" w:rsidR="00553543" w:rsidRDefault="00553543">
            <w:pPr>
              <w:pBdr>
                <w:top w:val="nil"/>
                <w:left w:val="nil"/>
                <w:bottom w:val="nil"/>
                <w:right w:val="nil"/>
                <w:between w:val="nil"/>
                <w:bar w:val="nil"/>
              </w:pBdr>
              <w:jc w:val="right"/>
              <w:rPr>
                <w:color w:val="000000"/>
              </w:rPr>
            </w:pPr>
          </w:p>
        </w:tc>
        <w:tc>
          <w:tcPr>
            <w:tcW w:w="53" w:type="pct"/>
            <w:tcBorders>
              <w:top w:val="nil"/>
              <w:left w:val="nil"/>
              <w:bottom w:val="nil"/>
              <w:right w:val="nil"/>
            </w:tcBorders>
            <w:shd w:val="clear" w:color="auto" w:fill="FFFFFF"/>
            <w:vAlign w:val="bottom"/>
          </w:tcPr>
          <w:p w14:paraId="36F95558" w14:textId="77777777" w:rsidR="00553543" w:rsidRDefault="00584985">
            <w:pPr>
              <w:pBdr>
                <w:top w:val="nil"/>
                <w:left w:val="nil"/>
                <w:bottom w:val="nil"/>
                <w:right w:val="nil"/>
                <w:between w:val="nil"/>
                <w:bar w:val="nil"/>
              </w:pBdr>
              <w:rPr>
                <w:color w:val="000000"/>
              </w:rPr>
            </w:pPr>
            <w:r>
              <w:rPr>
                <w:color w:val="000000"/>
              </w:rPr>
              <w:t>$</w:t>
            </w:r>
          </w:p>
        </w:tc>
        <w:tc>
          <w:tcPr>
            <w:tcW w:w="645" w:type="pct"/>
            <w:tcBorders>
              <w:top w:val="nil"/>
              <w:left w:val="nil"/>
              <w:bottom w:val="nil"/>
              <w:right w:val="nil"/>
            </w:tcBorders>
            <w:shd w:val="clear" w:color="auto" w:fill="FFFFFF"/>
            <w:vAlign w:val="bottom"/>
          </w:tcPr>
          <w:p w14:paraId="164BD3F5" w14:textId="77777777" w:rsidR="00553543" w:rsidRDefault="00584985">
            <w:pPr>
              <w:pBdr>
                <w:top w:val="nil"/>
                <w:left w:val="nil"/>
                <w:bottom w:val="nil"/>
                <w:right w:val="nil"/>
                <w:between w:val="nil"/>
                <w:bar w:val="nil"/>
              </w:pBdr>
              <w:jc w:val="right"/>
              <w:rPr>
                <w:color w:val="000000"/>
              </w:rPr>
            </w:pPr>
            <w:r>
              <w:rPr>
                <w:color w:val="000000"/>
              </w:rPr>
              <w:t>1,206</w:t>
            </w:r>
          </w:p>
        </w:tc>
        <w:tc>
          <w:tcPr>
            <w:tcW w:w="50" w:type="pct"/>
            <w:tcBorders>
              <w:top w:val="nil"/>
              <w:left w:val="nil"/>
              <w:bottom w:val="nil"/>
              <w:right w:val="nil"/>
            </w:tcBorders>
            <w:shd w:val="clear" w:color="auto" w:fill="FFFFFF"/>
            <w:vAlign w:val="bottom"/>
          </w:tcPr>
          <w:p w14:paraId="760F2050" w14:textId="77777777" w:rsidR="00553543" w:rsidRDefault="00553543">
            <w:pPr>
              <w:pBdr>
                <w:top w:val="nil"/>
                <w:left w:val="nil"/>
                <w:bottom w:val="nil"/>
                <w:right w:val="nil"/>
                <w:between w:val="nil"/>
                <w:bar w:val="nil"/>
              </w:pBdr>
              <w:rPr>
                <w:color w:val="000000"/>
              </w:rPr>
            </w:pPr>
          </w:p>
        </w:tc>
      </w:tr>
    </w:tbl>
    <w:p w14:paraId="63CBFBCC" w14:textId="77777777" w:rsidR="00553543" w:rsidRDefault="00553543">
      <w:pPr>
        <w:pBdr>
          <w:top w:val="nil"/>
          <w:left w:val="nil"/>
          <w:bottom w:val="nil"/>
          <w:right w:val="nil"/>
          <w:between w:val="nil"/>
          <w:bar w:val="nil"/>
        </w:pBdr>
        <w:rPr>
          <w:color w:val="000000"/>
        </w:rPr>
      </w:pPr>
    </w:p>
    <w:p w14:paraId="2387B327" w14:textId="77777777" w:rsidR="00553543" w:rsidRDefault="00553543">
      <w:pPr>
        <w:pBdr>
          <w:top w:val="nil"/>
          <w:left w:val="nil"/>
          <w:bottom w:val="nil"/>
          <w:right w:val="nil"/>
          <w:between w:val="nil"/>
          <w:bar w:val="nil"/>
        </w:pBdr>
        <w:rPr>
          <w:color w:val="000000"/>
        </w:rPr>
      </w:pPr>
    </w:p>
    <w:p w14:paraId="27F0A42E" w14:textId="77777777" w:rsidR="00553543" w:rsidRDefault="00584985">
      <w:pPr>
        <w:pBdr>
          <w:top w:val="nil"/>
          <w:left w:val="nil"/>
          <w:bottom w:val="nil"/>
          <w:right w:val="nil"/>
          <w:between w:val="nil"/>
          <w:bar w:val="nil"/>
        </w:pBdr>
        <w:rPr>
          <w:color w:val="000000"/>
        </w:rPr>
      </w:pPr>
      <w:r>
        <w:rPr>
          <w:color w:val="000000"/>
        </w:rPr>
        <w:t>(1) Average Ship Count reflects the fact that during the period ships were in and out of service and is calculated by adding the total number of days that each of the ships generated revenue during the period, divided by the number of calendar days during the period.</w:t>
      </w:r>
    </w:p>
    <w:p w14:paraId="55D7375A" w14:textId="77777777" w:rsidR="00553543" w:rsidRDefault="00553543">
      <w:pPr>
        <w:pBdr>
          <w:top w:val="nil"/>
          <w:left w:val="nil"/>
          <w:bottom w:val="nil"/>
          <w:right w:val="nil"/>
          <w:between w:val="nil"/>
          <w:bar w:val="nil"/>
        </w:pBdr>
        <w:rPr>
          <w:color w:val="000000"/>
        </w:rPr>
      </w:pPr>
    </w:p>
    <w:p w14:paraId="3C734BD7" w14:textId="77777777" w:rsidR="00553543" w:rsidRDefault="00584985">
      <w:pPr>
        <w:pBdr>
          <w:top w:val="nil"/>
          <w:left w:val="nil"/>
          <w:bottom w:val="nil"/>
          <w:right w:val="nil"/>
          <w:between w:val="nil"/>
          <w:bar w:val="nil"/>
        </w:pBdr>
        <w:rPr>
          <w:color w:val="000000"/>
          <w:shd w:val="clear" w:color="auto" w:fill="FFFFFF"/>
        </w:rPr>
      </w:pPr>
      <w:r>
        <w:rPr>
          <w:color w:val="000000"/>
        </w:rPr>
        <w:t xml:space="preserve">(2) </w:t>
      </w:r>
      <w:r>
        <w:rPr>
          <w:color w:val="000000"/>
          <w:shd w:val="clear" w:color="auto" w:fill="FFFFFF"/>
        </w:rPr>
        <w:t>Revenue Days reflects a day on which the health and wellness centers are open onboard a revenue generating cruise with passengers.</w:t>
      </w:r>
    </w:p>
    <w:p w14:paraId="2E315046" w14:textId="77777777" w:rsidR="00553543" w:rsidRDefault="00553543">
      <w:pPr>
        <w:pBdr>
          <w:top w:val="nil"/>
          <w:left w:val="nil"/>
          <w:bottom w:val="nil"/>
          <w:right w:val="nil"/>
          <w:between w:val="nil"/>
          <w:bar w:val="nil"/>
        </w:pBdr>
        <w:rPr>
          <w:color w:val="000000"/>
        </w:rPr>
      </w:pPr>
    </w:p>
    <w:p w14:paraId="34E146C0" w14:textId="77777777" w:rsidR="00553543" w:rsidRDefault="00584985">
      <w:pPr>
        <w:pBdr>
          <w:top w:val="nil"/>
          <w:left w:val="nil"/>
          <w:bottom w:val="nil"/>
          <w:right w:val="nil"/>
          <w:between w:val="nil"/>
          <w:bar w:val="nil"/>
        </w:pBdr>
        <w:rPr>
          <w:color w:val="000000"/>
          <w:shd w:val="clear" w:color="auto" w:fill="FFFFFF"/>
        </w:rPr>
      </w:pPr>
      <w:r>
        <w:rPr>
          <w:color w:val="000000"/>
        </w:rPr>
        <w:t xml:space="preserve">(3) </w:t>
      </w:r>
      <w:r>
        <w:rPr>
          <w:color w:val="000000"/>
          <w:shd w:val="clear" w:color="auto" w:fill="FFFFFF"/>
        </w:rPr>
        <w:t>Average Resort Count reflects the fact that during the period destination resort health and wellness centers were in and out of service and is calculated by adding the total number of days that each destination resort health and wellness center generated revenue during the period, divided by the number of calendar days during the period.</w:t>
      </w:r>
    </w:p>
    <w:p w14:paraId="41640BDE" w14:textId="77777777" w:rsidR="00553543" w:rsidRDefault="00553543">
      <w:pPr>
        <w:pBdr>
          <w:top w:val="nil"/>
          <w:left w:val="nil"/>
          <w:bottom w:val="nil"/>
          <w:right w:val="nil"/>
          <w:between w:val="nil"/>
          <w:bar w:val="nil"/>
        </w:pBdr>
        <w:rPr>
          <w:b/>
          <w:color w:val="000000"/>
        </w:rPr>
      </w:pPr>
    </w:p>
    <w:p w14:paraId="36280E81" w14:textId="77777777" w:rsidR="00553543" w:rsidRDefault="00584985">
      <w:pPr>
        <w:pBdr>
          <w:top w:val="nil"/>
          <w:left w:val="nil"/>
          <w:bottom w:val="nil"/>
          <w:right w:val="nil"/>
          <w:between w:val="nil"/>
          <w:bar w:val="nil"/>
        </w:pBdr>
        <w:rPr>
          <w:b/>
          <w:color w:val="000000"/>
        </w:rPr>
      </w:pPr>
      <w:r>
        <w:rPr>
          <w:b/>
          <w:color w:val="000000"/>
        </w:rPr>
        <w:t>Note Regarding Non-GAAP Financial Information</w:t>
      </w:r>
    </w:p>
    <w:p w14:paraId="39C12FF3" w14:textId="77777777" w:rsidR="00553543" w:rsidRDefault="00584985">
      <w:pPr>
        <w:pBdr>
          <w:top w:val="nil"/>
          <w:left w:val="nil"/>
          <w:bottom w:val="nil"/>
          <w:right w:val="nil"/>
          <w:between w:val="nil"/>
          <w:bar w:val="nil"/>
        </w:pBdr>
        <w:rPr>
          <w:b/>
          <w:color w:val="000000"/>
        </w:rPr>
      </w:pPr>
      <w:r>
        <w:rPr>
          <w:b/>
          <w:color w:val="000000"/>
        </w:rPr>
        <w:t xml:space="preserve"> </w:t>
      </w:r>
    </w:p>
    <w:p w14:paraId="435942E3" w14:textId="77777777" w:rsidR="00553543" w:rsidRDefault="00584985">
      <w:pPr>
        <w:widowControl w:val="0"/>
        <w:pBdr>
          <w:top w:val="nil"/>
          <w:left w:val="nil"/>
          <w:bottom w:val="nil"/>
          <w:right w:val="nil"/>
          <w:between w:val="nil"/>
          <w:bar w:val="nil"/>
        </w:pBdr>
        <w:rPr>
          <w:color w:val="000000"/>
        </w:rPr>
      </w:pPr>
      <w:r>
        <w:rPr>
          <w:color w:val="000000"/>
        </w:rPr>
        <w:t>This press release includes financial measures that are not calculated in accordance with GAAP, including Adjusted net income, Adjusted net income per diluted share and Adjusted EBITDA.</w:t>
      </w:r>
    </w:p>
    <w:p w14:paraId="5267CE7D" w14:textId="77777777" w:rsidR="00553543" w:rsidRDefault="00584985">
      <w:pPr>
        <w:widowControl w:val="0"/>
        <w:pBdr>
          <w:top w:val="nil"/>
          <w:left w:val="nil"/>
          <w:bottom w:val="nil"/>
          <w:right w:val="nil"/>
          <w:between w:val="nil"/>
          <w:bar w:val="nil"/>
        </w:pBdr>
        <w:rPr>
          <w:color w:val="000000"/>
        </w:rPr>
      </w:pPr>
      <w:r>
        <w:rPr>
          <w:color w:val="000000"/>
        </w:rPr>
        <w:t xml:space="preserve"> </w:t>
      </w:r>
    </w:p>
    <w:p w14:paraId="73696AF2" w14:textId="77777777" w:rsidR="00553543" w:rsidRDefault="00584985">
      <w:pPr>
        <w:widowControl w:val="0"/>
        <w:pBdr>
          <w:top w:val="nil"/>
          <w:left w:val="nil"/>
          <w:bottom w:val="nil"/>
          <w:right w:val="nil"/>
          <w:between w:val="nil"/>
          <w:bar w:val="nil"/>
        </w:pBdr>
        <w:rPr>
          <w:color w:val="000000"/>
        </w:rPr>
      </w:pPr>
      <w:r>
        <w:rPr>
          <w:color w:val="000000"/>
        </w:rPr>
        <w:t>We define Adjusted net income as Net income, adjusted for items, including Change in fair value of warrant liabilities; increase in Depreciation and amortization resulting from the Business Combination; Long-lived assets impairment; and Stock-based compensation. Adjusted net income per diluted share is defined as Adjusted net income divided by Diluted weighted average shares outstanding during the period, as if such shares had been outstanding during the entire three month periods ended March 31, 2025 and 2024.</w:t>
      </w:r>
    </w:p>
    <w:p w14:paraId="2E38C871" w14:textId="77777777" w:rsidR="00553543" w:rsidRDefault="00584985">
      <w:pPr>
        <w:widowControl w:val="0"/>
        <w:pBdr>
          <w:top w:val="nil"/>
          <w:left w:val="nil"/>
          <w:bottom w:val="nil"/>
          <w:right w:val="nil"/>
          <w:between w:val="nil"/>
          <w:bar w:val="nil"/>
        </w:pBdr>
        <w:rPr>
          <w:color w:val="000000"/>
        </w:rPr>
      </w:pPr>
      <w:r>
        <w:rPr>
          <w:color w:val="000000"/>
        </w:rPr>
        <w:t xml:space="preserve"> </w:t>
      </w:r>
    </w:p>
    <w:p w14:paraId="536E5AB6" w14:textId="77777777" w:rsidR="00553543" w:rsidRDefault="00584985">
      <w:pPr>
        <w:widowControl w:val="0"/>
        <w:pBdr>
          <w:top w:val="nil"/>
          <w:left w:val="nil"/>
          <w:bottom w:val="nil"/>
          <w:right w:val="nil"/>
          <w:between w:val="nil"/>
          <w:bar w:val="nil"/>
        </w:pBdr>
        <w:rPr>
          <w:color w:val="000000"/>
        </w:rPr>
      </w:pPr>
      <w:r>
        <w:rPr>
          <w:color w:val="000000"/>
        </w:rPr>
        <w:t>We define Adjusted EBITDA as Net income adjusted for items, including Income tax expense; Interest expense, net; Change in fair value of warrant liabilities; Depreciation and amortization; and Stock-based compensation as set forth below.</w:t>
      </w:r>
    </w:p>
    <w:p w14:paraId="4B9AD2C8" w14:textId="77777777" w:rsidR="00553543" w:rsidRDefault="00584985">
      <w:pPr>
        <w:widowControl w:val="0"/>
        <w:pBdr>
          <w:top w:val="nil"/>
          <w:left w:val="nil"/>
          <w:bottom w:val="nil"/>
          <w:right w:val="nil"/>
          <w:between w:val="nil"/>
          <w:bar w:val="nil"/>
        </w:pBdr>
        <w:rPr>
          <w:color w:val="000000"/>
        </w:rPr>
      </w:pPr>
      <w:r>
        <w:rPr>
          <w:color w:val="000000"/>
        </w:rPr>
        <w:t xml:space="preserve"> </w:t>
      </w:r>
    </w:p>
    <w:p w14:paraId="0D951442" w14:textId="77777777" w:rsidR="00553543" w:rsidRDefault="00584985">
      <w:pPr>
        <w:widowControl w:val="0"/>
        <w:pBdr>
          <w:top w:val="nil"/>
          <w:left w:val="nil"/>
          <w:bottom w:val="nil"/>
          <w:right w:val="nil"/>
          <w:between w:val="nil"/>
          <w:bar w:val="nil"/>
        </w:pBdr>
        <w:rPr>
          <w:color w:val="000000"/>
        </w:rPr>
      </w:pPr>
      <w:r>
        <w:rPr>
          <w:color w:val="000000"/>
        </w:rPr>
        <w:t>We believe that these non-GAAP measures, when reviewed in conjunction with GAAP financial measures, and not in isolation or as substitutes for analysis of our results of operations under GAAP, are useful to investors as they are widely used measures of performance and the adjustments we make to these non-GAAP measures provide investors further insight into our profitability and additional perspectives in comparing our performance to other companies and in comparing our performance over time on a consistent basis. Adjusted net income, Adjusted net income per diluted share and Adjusted EBITDA have limitations as profitability measures in that they do not include total amounts for interest expense on our debt and provision for income taxes, and the effect of our expenditures for capital assets and certain intangible assets. In addition, all of these non-GAAP measures have limitations as profitability measures in that they do not include the effect of non-cash stock-based compensation expense and the impact of certain expenses related to items that are settled in cash. Because of these limitations, the Company relies primarily on its GAAP results.</w:t>
      </w:r>
    </w:p>
    <w:p w14:paraId="2B36D409" w14:textId="77777777" w:rsidR="00553543" w:rsidRDefault="00584985">
      <w:pPr>
        <w:widowControl w:val="0"/>
        <w:pBdr>
          <w:top w:val="nil"/>
          <w:left w:val="nil"/>
          <w:bottom w:val="nil"/>
          <w:right w:val="nil"/>
          <w:between w:val="nil"/>
          <w:bar w:val="nil"/>
        </w:pBdr>
        <w:rPr>
          <w:color w:val="000000"/>
        </w:rPr>
      </w:pPr>
      <w:r>
        <w:rPr>
          <w:color w:val="000000"/>
        </w:rPr>
        <w:t xml:space="preserve"> </w:t>
      </w:r>
    </w:p>
    <w:p w14:paraId="71712F9D" w14:textId="77777777" w:rsidR="00553543" w:rsidRDefault="00584985">
      <w:pPr>
        <w:widowControl w:val="0"/>
        <w:pBdr>
          <w:top w:val="nil"/>
          <w:left w:val="nil"/>
          <w:bottom w:val="nil"/>
          <w:right w:val="nil"/>
          <w:between w:val="nil"/>
          <w:bar w:val="nil"/>
        </w:pBdr>
        <w:rPr>
          <w:color w:val="000000"/>
        </w:rPr>
      </w:pPr>
      <w:r>
        <w:rPr>
          <w:color w:val="000000"/>
        </w:rPr>
        <w:t>In the future, we may incur expenses similar to those for which adjustments are made in calculating Adjusted EBITDA. Our presentation of Adjusted EBITDA should not be construed as a basis to infer that our future results will be unaffected by extraordinary, unusual, or nonrecurring items.</w:t>
      </w:r>
    </w:p>
    <w:p w14:paraId="1E3C8BC7" w14:textId="77777777" w:rsidR="00553543" w:rsidRDefault="00553543">
      <w:pPr>
        <w:pBdr>
          <w:top w:val="nil"/>
          <w:left w:val="nil"/>
          <w:bottom w:val="nil"/>
          <w:right w:val="nil"/>
          <w:between w:val="nil"/>
          <w:bar w:val="nil"/>
        </w:pBdr>
        <w:rPr>
          <w:b/>
          <w:color w:val="000000"/>
        </w:rPr>
      </w:pPr>
    </w:p>
    <w:p w14:paraId="13CB20F2" w14:textId="77777777" w:rsidR="00553543" w:rsidRDefault="00584985">
      <w:pPr>
        <w:pBdr>
          <w:top w:val="nil"/>
          <w:left w:val="nil"/>
          <w:bottom w:val="nil"/>
          <w:right w:val="nil"/>
          <w:between w:val="nil"/>
          <w:bar w:val="nil"/>
        </w:pBdr>
        <w:rPr>
          <w:b/>
          <w:color w:val="000000"/>
        </w:rPr>
      </w:pPr>
      <w:r>
        <w:rPr>
          <w:b/>
          <w:color w:val="000000"/>
        </w:rPr>
        <w:t>Reconciliation of GAAP to Non-GAAP Financial Information</w:t>
      </w:r>
    </w:p>
    <w:p w14:paraId="72BB9A9C" w14:textId="77777777" w:rsidR="00553543" w:rsidRDefault="00553543">
      <w:pPr>
        <w:pBdr>
          <w:top w:val="nil"/>
          <w:left w:val="nil"/>
          <w:bottom w:val="nil"/>
          <w:right w:val="nil"/>
          <w:between w:val="nil"/>
          <w:bar w:val="nil"/>
        </w:pBdr>
        <w:rPr>
          <w:b/>
          <w:color w:val="000000"/>
        </w:rPr>
      </w:pPr>
    </w:p>
    <w:p w14:paraId="22274371" w14:textId="77777777" w:rsidR="00553543" w:rsidRDefault="00584985">
      <w:pPr>
        <w:pBdr>
          <w:top w:val="nil"/>
          <w:left w:val="nil"/>
          <w:bottom w:val="nil"/>
          <w:right w:val="nil"/>
          <w:between w:val="nil"/>
          <w:bar w:val="nil"/>
        </w:pBdr>
        <w:rPr>
          <w:color w:val="000000"/>
        </w:rPr>
      </w:pPr>
      <w:r>
        <w:rPr>
          <w:color w:val="000000"/>
        </w:rPr>
        <w:t>The following table reconciles Net income to Adjusted net income for the first quarters ended March 31, 2025 and 2024 and Adjusted net income per diluted share for the first quarters ended March 31, 2025 and 2024 (amounts in thousands, except per share amounts):</w:t>
      </w:r>
    </w:p>
    <w:p w14:paraId="575307C3" w14:textId="77777777" w:rsidR="00553543" w:rsidRDefault="00553543">
      <w:pPr>
        <w:keepNext/>
        <w:keepLines/>
        <w:pBdr>
          <w:top w:val="nil"/>
          <w:left w:val="nil"/>
          <w:bottom w:val="nil"/>
          <w:right w:val="nil"/>
          <w:between w:val="nil"/>
          <w:bar w:val="nil"/>
        </w:pBd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7236"/>
        <w:gridCol w:w="175"/>
        <w:gridCol w:w="114"/>
        <w:gridCol w:w="1385"/>
        <w:gridCol w:w="108"/>
        <w:gridCol w:w="175"/>
        <w:gridCol w:w="114"/>
        <w:gridCol w:w="1385"/>
        <w:gridCol w:w="108"/>
      </w:tblGrid>
      <w:tr w:rsidR="00553543" w14:paraId="4113C336" w14:textId="77777777">
        <w:trPr>
          <w:jc w:val="center"/>
        </w:trPr>
        <w:tc>
          <w:tcPr>
            <w:tcW w:w="3349" w:type="pct"/>
            <w:tcBorders>
              <w:top w:val="nil"/>
              <w:left w:val="nil"/>
              <w:bottom w:val="nil"/>
              <w:right w:val="nil"/>
            </w:tcBorders>
            <w:shd w:val="clear" w:color="auto" w:fill="FFFFFF"/>
            <w:vAlign w:val="bottom"/>
          </w:tcPr>
          <w:p w14:paraId="275DA925"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4F2EBA18" w14:textId="77777777" w:rsidR="00553543" w:rsidRDefault="00553543">
            <w:pPr>
              <w:keepNext/>
              <w:pBdr>
                <w:top w:val="nil"/>
                <w:left w:val="nil"/>
                <w:bottom w:val="nil"/>
                <w:right w:val="nil"/>
                <w:between w:val="nil"/>
                <w:bar w:val="nil"/>
              </w:pBdr>
              <w:rPr>
                <w:b/>
                <w:color w:val="000000"/>
              </w:rPr>
            </w:pPr>
          </w:p>
        </w:tc>
        <w:tc>
          <w:tcPr>
            <w:tcW w:w="0" w:type="auto"/>
            <w:gridSpan w:val="6"/>
            <w:tcBorders>
              <w:top w:val="nil"/>
              <w:left w:val="nil"/>
              <w:bottom w:val="nil"/>
              <w:right w:val="nil"/>
            </w:tcBorders>
            <w:shd w:val="clear" w:color="auto" w:fill="FFFFFF"/>
            <w:vAlign w:val="bottom"/>
          </w:tcPr>
          <w:p w14:paraId="4EA619C3" w14:textId="77777777" w:rsidR="00553543" w:rsidRDefault="00584985">
            <w:pPr>
              <w:keepNext/>
              <w:pBdr>
                <w:top w:val="nil"/>
                <w:left w:val="nil"/>
                <w:bottom w:val="nil"/>
                <w:right w:val="nil"/>
                <w:between w:val="nil"/>
                <w:bar w:val="nil"/>
              </w:pBdr>
              <w:jc w:val="center"/>
              <w:rPr>
                <w:b/>
                <w:color w:val="000000"/>
              </w:rPr>
            </w:pPr>
            <w:r>
              <w:rPr>
                <w:b/>
                <w:color w:val="000000"/>
              </w:rPr>
              <w:t>Three Months Ended</w:t>
            </w:r>
          </w:p>
        </w:tc>
        <w:tc>
          <w:tcPr>
            <w:tcW w:w="50" w:type="pct"/>
            <w:tcBorders>
              <w:top w:val="nil"/>
              <w:left w:val="nil"/>
              <w:bottom w:val="nil"/>
              <w:right w:val="nil"/>
            </w:tcBorders>
            <w:shd w:val="clear" w:color="auto" w:fill="FFFFFF"/>
            <w:vAlign w:val="bottom"/>
          </w:tcPr>
          <w:p w14:paraId="55372F05" w14:textId="77777777" w:rsidR="00553543" w:rsidRDefault="00553543">
            <w:pPr>
              <w:keepNext/>
              <w:pBdr>
                <w:top w:val="nil"/>
                <w:left w:val="nil"/>
                <w:bottom w:val="nil"/>
                <w:right w:val="nil"/>
                <w:between w:val="nil"/>
                <w:bar w:val="nil"/>
              </w:pBdr>
              <w:jc w:val="center"/>
              <w:rPr>
                <w:b/>
                <w:color w:val="000000"/>
              </w:rPr>
            </w:pPr>
          </w:p>
        </w:tc>
      </w:tr>
      <w:tr w:rsidR="00553543" w14:paraId="31CAD760" w14:textId="77777777">
        <w:trPr>
          <w:jc w:val="center"/>
        </w:trPr>
        <w:tc>
          <w:tcPr>
            <w:tcW w:w="3349" w:type="pct"/>
            <w:tcBorders>
              <w:top w:val="nil"/>
              <w:left w:val="nil"/>
              <w:bottom w:val="nil"/>
              <w:right w:val="nil"/>
            </w:tcBorders>
            <w:shd w:val="clear" w:color="auto" w:fill="FFFFFF"/>
            <w:vAlign w:val="bottom"/>
          </w:tcPr>
          <w:p w14:paraId="2E34B3C7"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36E1A5DF" w14:textId="77777777" w:rsidR="00553543" w:rsidRDefault="00553543">
            <w:pPr>
              <w:keepNext/>
              <w:pBdr>
                <w:top w:val="nil"/>
                <w:left w:val="nil"/>
                <w:bottom w:val="nil"/>
                <w:right w:val="nil"/>
                <w:between w:val="nil"/>
                <w:bar w:val="nil"/>
              </w:pBdr>
              <w:rPr>
                <w:b/>
                <w:color w:val="000000"/>
              </w:rPr>
            </w:pPr>
          </w:p>
        </w:tc>
        <w:tc>
          <w:tcPr>
            <w:tcW w:w="0" w:type="auto"/>
            <w:gridSpan w:val="6"/>
            <w:tcBorders>
              <w:top w:val="nil"/>
              <w:left w:val="nil"/>
              <w:bottom w:val="single" w:sz="4" w:space="0" w:color="000000"/>
              <w:right w:val="nil"/>
            </w:tcBorders>
            <w:shd w:val="clear" w:color="auto" w:fill="FFFFFF"/>
            <w:vAlign w:val="bottom"/>
          </w:tcPr>
          <w:p w14:paraId="09A527EB" w14:textId="77777777" w:rsidR="00553543" w:rsidRDefault="00584985">
            <w:pPr>
              <w:keepNext/>
              <w:pBdr>
                <w:top w:val="nil"/>
                <w:left w:val="nil"/>
                <w:bottom w:val="nil"/>
                <w:right w:val="nil"/>
                <w:between w:val="nil"/>
                <w:bar w:val="nil"/>
              </w:pBdr>
              <w:jc w:val="center"/>
              <w:rPr>
                <w:b/>
                <w:color w:val="000000"/>
              </w:rPr>
            </w:pPr>
            <w:r>
              <w:rPr>
                <w:b/>
                <w:color w:val="000000"/>
              </w:rPr>
              <w:t>March 31,</w:t>
            </w:r>
          </w:p>
        </w:tc>
        <w:tc>
          <w:tcPr>
            <w:tcW w:w="50" w:type="pct"/>
            <w:tcBorders>
              <w:top w:val="nil"/>
              <w:left w:val="nil"/>
              <w:bottom w:val="nil"/>
              <w:right w:val="nil"/>
            </w:tcBorders>
            <w:shd w:val="clear" w:color="auto" w:fill="FFFFFF"/>
            <w:vAlign w:val="bottom"/>
          </w:tcPr>
          <w:p w14:paraId="1FF915ED" w14:textId="77777777" w:rsidR="00553543" w:rsidRDefault="00553543">
            <w:pPr>
              <w:keepNext/>
              <w:pBdr>
                <w:top w:val="nil"/>
                <w:left w:val="nil"/>
                <w:bottom w:val="nil"/>
                <w:right w:val="nil"/>
                <w:between w:val="nil"/>
                <w:bar w:val="nil"/>
              </w:pBdr>
              <w:jc w:val="center"/>
              <w:rPr>
                <w:b/>
                <w:color w:val="000000"/>
              </w:rPr>
            </w:pPr>
          </w:p>
        </w:tc>
      </w:tr>
      <w:tr w:rsidR="00553543" w14:paraId="7AF7B40D" w14:textId="77777777">
        <w:trPr>
          <w:jc w:val="center"/>
        </w:trPr>
        <w:tc>
          <w:tcPr>
            <w:tcW w:w="3349" w:type="pct"/>
            <w:tcBorders>
              <w:top w:val="nil"/>
              <w:left w:val="nil"/>
              <w:bottom w:val="nil"/>
              <w:right w:val="nil"/>
            </w:tcBorders>
            <w:shd w:val="clear" w:color="auto" w:fill="FFFFFF"/>
            <w:vAlign w:val="bottom"/>
          </w:tcPr>
          <w:p w14:paraId="4DB55325"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4043810B" w14:textId="77777777" w:rsidR="00553543" w:rsidRDefault="00553543">
            <w:pPr>
              <w:keepNext/>
              <w:pBdr>
                <w:top w:val="nil"/>
                <w:left w:val="nil"/>
                <w:bottom w:val="nil"/>
                <w:right w:val="nil"/>
                <w:between w:val="nil"/>
                <w:bar w:val="nil"/>
              </w:pBd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78BA4B39" w14:textId="77777777" w:rsidR="00553543" w:rsidRDefault="00584985">
            <w:pPr>
              <w:keepNext/>
              <w:pBdr>
                <w:top w:val="nil"/>
                <w:left w:val="nil"/>
                <w:bottom w:val="nil"/>
                <w:right w:val="nil"/>
                <w:between w:val="nil"/>
                <w:bar w:val="nil"/>
              </w:pBdr>
              <w:jc w:val="center"/>
              <w:rPr>
                <w:b/>
                <w:color w:val="000000"/>
              </w:rPr>
            </w:pPr>
            <w:r>
              <w:rPr>
                <w:b/>
                <w:color w:val="000000"/>
              </w:rPr>
              <w:t>2025</w:t>
            </w:r>
          </w:p>
        </w:tc>
        <w:tc>
          <w:tcPr>
            <w:tcW w:w="50" w:type="pct"/>
            <w:tcBorders>
              <w:top w:val="nil"/>
              <w:left w:val="nil"/>
              <w:bottom w:val="nil"/>
              <w:right w:val="nil"/>
            </w:tcBorders>
            <w:shd w:val="clear" w:color="auto" w:fill="FFFFFF"/>
            <w:vAlign w:val="bottom"/>
          </w:tcPr>
          <w:p w14:paraId="1DE4CDCF" w14:textId="77777777" w:rsidR="00553543" w:rsidRDefault="00553543">
            <w:pPr>
              <w:keepNext/>
              <w:pBdr>
                <w:top w:val="nil"/>
                <w:left w:val="nil"/>
                <w:bottom w:val="nil"/>
                <w:right w:val="nil"/>
                <w:between w:val="nil"/>
                <w:bar w:val="nil"/>
              </w:pBdr>
              <w:jc w:val="center"/>
              <w:rPr>
                <w:b/>
                <w:color w:val="000000"/>
              </w:rPr>
            </w:pPr>
          </w:p>
        </w:tc>
        <w:tc>
          <w:tcPr>
            <w:tcW w:w="81" w:type="pct"/>
            <w:tcBorders>
              <w:top w:val="single" w:sz="4" w:space="0" w:color="000000"/>
              <w:left w:val="nil"/>
              <w:bottom w:val="nil"/>
              <w:right w:val="nil"/>
            </w:tcBorders>
            <w:shd w:val="clear" w:color="auto" w:fill="FFFFFF"/>
            <w:vAlign w:val="bottom"/>
          </w:tcPr>
          <w:p w14:paraId="6DB83AAA" w14:textId="77777777" w:rsidR="00553543" w:rsidRDefault="00553543">
            <w:pPr>
              <w:keepNext/>
              <w:pBdr>
                <w:top w:val="nil"/>
                <w:left w:val="nil"/>
                <w:bottom w:val="nil"/>
                <w:right w:val="nil"/>
                <w:between w:val="nil"/>
                <w:bar w:val="nil"/>
              </w:pBd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4FAF7C00" w14:textId="77777777" w:rsidR="00553543" w:rsidRDefault="00584985">
            <w:pPr>
              <w:keepNext/>
              <w:pBdr>
                <w:top w:val="nil"/>
                <w:left w:val="nil"/>
                <w:bottom w:val="nil"/>
                <w:right w:val="nil"/>
                <w:between w:val="nil"/>
                <w:bar w:val="nil"/>
              </w:pBdr>
              <w:jc w:val="center"/>
              <w:rPr>
                <w:b/>
                <w:color w:val="000000"/>
              </w:rPr>
            </w:pPr>
            <w:r>
              <w:rPr>
                <w:b/>
                <w:color w:val="000000"/>
              </w:rPr>
              <w:t>2024</w:t>
            </w:r>
          </w:p>
        </w:tc>
        <w:tc>
          <w:tcPr>
            <w:tcW w:w="50" w:type="pct"/>
            <w:tcBorders>
              <w:top w:val="nil"/>
              <w:left w:val="nil"/>
              <w:bottom w:val="nil"/>
              <w:right w:val="nil"/>
            </w:tcBorders>
            <w:shd w:val="clear" w:color="auto" w:fill="FFFFFF"/>
            <w:vAlign w:val="bottom"/>
          </w:tcPr>
          <w:p w14:paraId="1A34E9BD" w14:textId="77777777" w:rsidR="00553543" w:rsidRDefault="00553543">
            <w:pPr>
              <w:keepNext/>
              <w:pBdr>
                <w:top w:val="nil"/>
                <w:left w:val="nil"/>
                <w:bottom w:val="nil"/>
                <w:right w:val="nil"/>
                <w:between w:val="nil"/>
                <w:bar w:val="nil"/>
              </w:pBdr>
              <w:jc w:val="center"/>
              <w:rPr>
                <w:b/>
                <w:color w:val="000000"/>
              </w:rPr>
            </w:pPr>
          </w:p>
        </w:tc>
      </w:tr>
      <w:tr w:rsidR="00553543" w14:paraId="1747CF18" w14:textId="77777777">
        <w:trPr>
          <w:jc w:val="center"/>
        </w:trPr>
        <w:tc>
          <w:tcPr>
            <w:tcW w:w="3349" w:type="pct"/>
            <w:tcBorders>
              <w:top w:val="nil"/>
              <w:left w:val="nil"/>
              <w:bottom w:val="nil"/>
              <w:right w:val="nil"/>
            </w:tcBorders>
            <w:shd w:val="clear" w:color="auto" w:fill="CFF0FC"/>
          </w:tcPr>
          <w:p w14:paraId="0BC34000" w14:textId="77777777" w:rsidR="00553543" w:rsidRDefault="00584985">
            <w:pPr>
              <w:keepNext/>
              <w:pBdr>
                <w:top w:val="nil"/>
                <w:left w:val="nil"/>
                <w:bottom w:val="nil"/>
                <w:right w:val="nil"/>
                <w:between w:val="nil"/>
                <w:bar w:val="nil"/>
              </w:pBdr>
              <w:rPr>
                <w:color w:val="000000"/>
              </w:rPr>
            </w:pPr>
            <w:r>
              <w:rPr>
                <w:color w:val="000000"/>
              </w:rPr>
              <w:t>Net income</w:t>
            </w:r>
          </w:p>
        </w:tc>
        <w:tc>
          <w:tcPr>
            <w:tcW w:w="81" w:type="pct"/>
            <w:tcBorders>
              <w:top w:val="nil"/>
              <w:left w:val="nil"/>
              <w:bottom w:val="nil"/>
              <w:right w:val="nil"/>
            </w:tcBorders>
            <w:shd w:val="clear" w:color="auto" w:fill="CFF0FC"/>
            <w:vAlign w:val="bottom"/>
          </w:tcPr>
          <w:p w14:paraId="5C7AFB6B"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750C1348"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nil"/>
              <w:right w:val="nil"/>
            </w:tcBorders>
            <w:shd w:val="clear" w:color="auto" w:fill="CFF0FC"/>
            <w:vAlign w:val="bottom"/>
          </w:tcPr>
          <w:p w14:paraId="6B4CA212" w14:textId="77777777" w:rsidR="00553543" w:rsidRDefault="00584985">
            <w:pPr>
              <w:keepNext/>
              <w:pBdr>
                <w:top w:val="nil"/>
                <w:left w:val="nil"/>
                <w:bottom w:val="nil"/>
                <w:right w:val="nil"/>
                <w:between w:val="nil"/>
                <w:bar w:val="nil"/>
              </w:pBdr>
              <w:jc w:val="right"/>
              <w:rPr>
                <w:color w:val="000000"/>
              </w:rPr>
            </w:pPr>
            <w:r>
              <w:rPr>
                <w:color w:val="000000"/>
              </w:rPr>
              <w:t>15,271</w:t>
            </w:r>
          </w:p>
        </w:tc>
        <w:tc>
          <w:tcPr>
            <w:tcW w:w="50" w:type="pct"/>
            <w:tcBorders>
              <w:top w:val="nil"/>
              <w:left w:val="nil"/>
              <w:bottom w:val="nil"/>
              <w:right w:val="nil"/>
            </w:tcBorders>
            <w:shd w:val="clear" w:color="auto" w:fill="CFF0FC"/>
            <w:vAlign w:val="bottom"/>
          </w:tcPr>
          <w:p w14:paraId="75F2828C"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7387385B"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2589F2DF"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nil"/>
              <w:right w:val="nil"/>
            </w:tcBorders>
            <w:shd w:val="clear" w:color="auto" w:fill="CFF0FC"/>
            <w:vAlign w:val="bottom"/>
          </w:tcPr>
          <w:p w14:paraId="38371992" w14:textId="77777777" w:rsidR="00553543" w:rsidRDefault="00584985">
            <w:pPr>
              <w:keepNext/>
              <w:pBdr>
                <w:top w:val="nil"/>
                <w:left w:val="nil"/>
                <w:bottom w:val="nil"/>
                <w:right w:val="nil"/>
                <w:between w:val="nil"/>
                <w:bar w:val="nil"/>
              </w:pBdr>
              <w:jc w:val="right"/>
              <w:rPr>
                <w:color w:val="000000"/>
              </w:rPr>
            </w:pPr>
            <w:r>
              <w:rPr>
                <w:color w:val="000000"/>
              </w:rPr>
              <w:t>21,166</w:t>
            </w:r>
          </w:p>
        </w:tc>
        <w:tc>
          <w:tcPr>
            <w:tcW w:w="50" w:type="pct"/>
            <w:tcBorders>
              <w:top w:val="nil"/>
              <w:left w:val="nil"/>
              <w:bottom w:val="nil"/>
              <w:right w:val="nil"/>
            </w:tcBorders>
            <w:shd w:val="clear" w:color="auto" w:fill="CFF0FC"/>
            <w:vAlign w:val="bottom"/>
          </w:tcPr>
          <w:p w14:paraId="34DCD799" w14:textId="77777777" w:rsidR="00553543" w:rsidRDefault="00553543">
            <w:pPr>
              <w:keepNext/>
              <w:pBdr>
                <w:top w:val="nil"/>
                <w:left w:val="nil"/>
                <w:bottom w:val="nil"/>
                <w:right w:val="nil"/>
                <w:between w:val="nil"/>
                <w:bar w:val="nil"/>
              </w:pBdr>
              <w:rPr>
                <w:color w:val="000000"/>
              </w:rPr>
            </w:pPr>
          </w:p>
        </w:tc>
      </w:tr>
      <w:tr w:rsidR="00553543" w14:paraId="4923C5D6" w14:textId="77777777">
        <w:trPr>
          <w:jc w:val="center"/>
        </w:trPr>
        <w:tc>
          <w:tcPr>
            <w:tcW w:w="3349" w:type="pct"/>
            <w:tcBorders>
              <w:top w:val="nil"/>
              <w:left w:val="nil"/>
              <w:bottom w:val="nil"/>
              <w:right w:val="nil"/>
            </w:tcBorders>
            <w:shd w:val="clear" w:color="auto" w:fill="FFFFFF"/>
          </w:tcPr>
          <w:p w14:paraId="38E07C46" w14:textId="77777777" w:rsidR="00553543" w:rsidRDefault="00584985">
            <w:pPr>
              <w:keepNext/>
              <w:pBdr>
                <w:top w:val="nil"/>
                <w:left w:val="nil"/>
                <w:bottom w:val="nil"/>
                <w:right w:val="nil"/>
                <w:between w:val="nil"/>
                <w:bar w:val="nil"/>
              </w:pBdr>
              <w:rPr>
                <w:color w:val="000000"/>
              </w:rPr>
            </w:pPr>
            <w:r>
              <w:rPr>
                <w:color w:val="000000"/>
              </w:rPr>
              <w:t>Change in fair value of warrant liabilities</w:t>
            </w:r>
          </w:p>
        </w:tc>
        <w:tc>
          <w:tcPr>
            <w:tcW w:w="81" w:type="pct"/>
            <w:tcBorders>
              <w:top w:val="nil"/>
              <w:left w:val="nil"/>
              <w:bottom w:val="nil"/>
              <w:right w:val="nil"/>
            </w:tcBorders>
            <w:shd w:val="clear" w:color="auto" w:fill="FFFFFF"/>
            <w:vAlign w:val="bottom"/>
          </w:tcPr>
          <w:p w14:paraId="170C57E2"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4F943365"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03848FAC" w14:textId="77777777" w:rsidR="00553543" w:rsidRDefault="00584985">
            <w:pPr>
              <w:keepNext/>
              <w:pBdr>
                <w:top w:val="nil"/>
                <w:left w:val="nil"/>
                <w:bottom w:val="nil"/>
                <w:right w:val="nil"/>
                <w:between w:val="nil"/>
                <w:bar w:val="nil"/>
              </w:pBdr>
              <w:jc w:val="right"/>
              <w:rPr>
                <w:color w:val="000000"/>
              </w:rPr>
            </w:pPr>
            <w:r>
              <w:rPr>
                <w:color w:val="000000"/>
              </w:rPr>
              <w:t>—</w:t>
            </w:r>
          </w:p>
        </w:tc>
        <w:tc>
          <w:tcPr>
            <w:tcW w:w="50" w:type="pct"/>
            <w:tcBorders>
              <w:top w:val="nil"/>
              <w:left w:val="nil"/>
              <w:bottom w:val="nil"/>
              <w:right w:val="nil"/>
            </w:tcBorders>
            <w:shd w:val="clear" w:color="auto" w:fill="FFFFFF"/>
            <w:vAlign w:val="bottom"/>
          </w:tcPr>
          <w:p w14:paraId="0F887521"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01023CF2"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4DE8CE1B"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7737B281" w14:textId="77777777" w:rsidR="00553543" w:rsidRDefault="00584985">
            <w:pPr>
              <w:keepNext/>
              <w:pBdr>
                <w:top w:val="nil"/>
                <w:left w:val="nil"/>
                <w:bottom w:val="nil"/>
                <w:right w:val="nil"/>
                <w:between w:val="nil"/>
                <w:bar w:val="nil"/>
              </w:pBdr>
              <w:jc w:val="right"/>
              <w:rPr>
                <w:color w:val="000000"/>
              </w:rPr>
            </w:pPr>
            <w:r>
              <w:rPr>
                <w:color w:val="000000"/>
              </w:rPr>
              <w:t>(7,723</w:t>
            </w:r>
          </w:p>
        </w:tc>
        <w:tc>
          <w:tcPr>
            <w:tcW w:w="50" w:type="pct"/>
            <w:tcBorders>
              <w:top w:val="nil"/>
              <w:left w:val="nil"/>
              <w:bottom w:val="nil"/>
              <w:right w:val="nil"/>
            </w:tcBorders>
            <w:shd w:val="clear" w:color="auto" w:fill="FFFFFF"/>
            <w:vAlign w:val="bottom"/>
          </w:tcPr>
          <w:p w14:paraId="2EC7FC38"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4170AFFA" w14:textId="77777777">
        <w:trPr>
          <w:jc w:val="center"/>
        </w:trPr>
        <w:tc>
          <w:tcPr>
            <w:tcW w:w="3349" w:type="pct"/>
            <w:tcBorders>
              <w:top w:val="nil"/>
              <w:left w:val="nil"/>
              <w:bottom w:val="nil"/>
              <w:right w:val="nil"/>
            </w:tcBorders>
            <w:shd w:val="clear" w:color="auto" w:fill="CFF0FC"/>
          </w:tcPr>
          <w:p w14:paraId="7C69863E" w14:textId="77777777" w:rsidR="00553543" w:rsidRDefault="00584985">
            <w:pPr>
              <w:keepNext/>
              <w:pBdr>
                <w:top w:val="nil"/>
                <w:left w:val="nil"/>
                <w:bottom w:val="nil"/>
                <w:right w:val="nil"/>
                <w:between w:val="nil"/>
                <w:bar w:val="nil"/>
              </w:pBdr>
              <w:rPr>
                <w:color w:val="000000"/>
              </w:rPr>
            </w:pPr>
            <w:r>
              <w:rPr>
                <w:color w:val="000000"/>
              </w:rPr>
              <w:t>Depreciation and amortization (a)</w:t>
            </w:r>
          </w:p>
        </w:tc>
        <w:tc>
          <w:tcPr>
            <w:tcW w:w="81" w:type="pct"/>
            <w:tcBorders>
              <w:top w:val="nil"/>
              <w:left w:val="nil"/>
              <w:bottom w:val="nil"/>
              <w:right w:val="nil"/>
            </w:tcBorders>
            <w:shd w:val="clear" w:color="auto" w:fill="CFF0FC"/>
            <w:vAlign w:val="bottom"/>
          </w:tcPr>
          <w:p w14:paraId="7750011D"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5347BAD5"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01D75C9E" w14:textId="77777777" w:rsidR="00553543" w:rsidRDefault="00584985">
            <w:pPr>
              <w:keepNext/>
              <w:pBdr>
                <w:top w:val="nil"/>
                <w:left w:val="nil"/>
                <w:bottom w:val="nil"/>
                <w:right w:val="nil"/>
                <w:between w:val="nil"/>
                <w:bar w:val="nil"/>
              </w:pBdr>
              <w:jc w:val="right"/>
              <w:rPr>
                <w:color w:val="000000"/>
              </w:rPr>
            </w:pPr>
            <w:r>
              <w:rPr>
                <w:color w:val="000000"/>
              </w:rPr>
              <w:t>3,761</w:t>
            </w:r>
          </w:p>
        </w:tc>
        <w:tc>
          <w:tcPr>
            <w:tcW w:w="50" w:type="pct"/>
            <w:tcBorders>
              <w:top w:val="nil"/>
              <w:left w:val="nil"/>
              <w:bottom w:val="nil"/>
              <w:right w:val="nil"/>
            </w:tcBorders>
            <w:shd w:val="clear" w:color="auto" w:fill="CFF0FC"/>
            <w:vAlign w:val="bottom"/>
          </w:tcPr>
          <w:p w14:paraId="3E08C7B4"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71E227F8"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0C24554D"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68E9165B" w14:textId="77777777" w:rsidR="00553543" w:rsidRDefault="00584985">
            <w:pPr>
              <w:keepNext/>
              <w:pBdr>
                <w:top w:val="nil"/>
                <w:left w:val="nil"/>
                <w:bottom w:val="nil"/>
                <w:right w:val="nil"/>
                <w:between w:val="nil"/>
                <w:bar w:val="nil"/>
              </w:pBdr>
              <w:jc w:val="right"/>
              <w:rPr>
                <w:color w:val="000000"/>
              </w:rPr>
            </w:pPr>
            <w:r>
              <w:rPr>
                <w:color w:val="000000"/>
              </w:rPr>
              <w:t>3,761</w:t>
            </w:r>
          </w:p>
        </w:tc>
        <w:tc>
          <w:tcPr>
            <w:tcW w:w="50" w:type="pct"/>
            <w:tcBorders>
              <w:top w:val="nil"/>
              <w:left w:val="nil"/>
              <w:bottom w:val="nil"/>
              <w:right w:val="nil"/>
            </w:tcBorders>
            <w:shd w:val="clear" w:color="auto" w:fill="CFF0FC"/>
            <w:vAlign w:val="bottom"/>
          </w:tcPr>
          <w:p w14:paraId="510B816A" w14:textId="77777777" w:rsidR="00553543" w:rsidRDefault="00553543">
            <w:pPr>
              <w:keepNext/>
              <w:pBdr>
                <w:top w:val="nil"/>
                <w:left w:val="nil"/>
                <w:bottom w:val="nil"/>
                <w:right w:val="nil"/>
                <w:between w:val="nil"/>
                <w:bar w:val="nil"/>
              </w:pBdr>
              <w:rPr>
                <w:color w:val="000000"/>
              </w:rPr>
            </w:pPr>
          </w:p>
        </w:tc>
      </w:tr>
      <w:tr w:rsidR="00553543" w14:paraId="7FCF8B23" w14:textId="77777777">
        <w:trPr>
          <w:jc w:val="center"/>
        </w:trPr>
        <w:tc>
          <w:tcPr>
            <w:tcW w:w="3349" w:type="pct"/>
            <w:tcBorders>
              <w:top w:val="nil"/>
              <w:left w:val="nil"/>
              <w:bottom w:val="nil"/>
              <w:right w:val="nil"/>
            </w:tcBorders>
            <w:shd w:val="clear" w:color="auto" w:fill="FFFFFF"/>
          </w:tcPr>
          <w:p w14:paraId="1B1BD5F3" w14:textId="77777777" w:rsidR="00553543" w:rsidRDefault="00584985">
            <w:pPr>
              <w:keepNext/>
              <w:pBdr>
                <w:top w:val="nil"/>
                <w:left w:val="nil"/>
                <w:bottom w:val="nil"/>
                <w:right w:val="nil"/>
                <w:between w:val="nil"/>
                <w:bar w:val="nil"/>
              </w:pBdr>
              <w:rPr>
                <w:color w:val="000000"/>
              </w:rPr>
            </w:pPr>
            <w:r>
              <w:rPr>
                <w:color w:val="000000"/>
              </w:rPr>
              <w:t>Stock-based compensation</w:t>
            </w:r>
          </w:p>
        </w:tc>
        <w:tc>
          <w:tcPr>
            <w:tcW w:w="81" w:type="pct"/>
            <w:tcBorders>
              <w:top w:val="nil"/>
              <w:left w:val="nil"/>
              <w:bottom w:val="nil"/>
              <w:right w:val="nil"/>
            </w:tcBorders>
            <w:shd w:val="clear" w:color="auto" w:fill="FFFFFF"/>
            <w:vAlign w:val="bottom"/>
          </w:tcPr>
          <w:p w14:paraId="15EB93BC"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098F5F94"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single" w:sz="4" w:space="0" w:color="000000"/>
              <w:right w:val="nil"/>
            </w:tcBorders>
            <w:shd w:val="clear" w:color="auto" w:fill="FFFFFF"/>
            <w:vAlign w:val="bottom"/>
          </w:tcPr>
          <w:p w14:paraId="5C5260CB" w14:textId="77777777" w:rsidR="00553543" w:rsidRDefault="00584985">
            <w:pPr>
              <w:keepNext/>
              <w:pBdr>
                <w:top w:val="nil"/>
                <w:left w:val="nil"/>
                <w:bottom w:val="nil"/>
                <w:right w:val="nil"/>
                <w:between w:val="nil"/>
                <w:bar w:val="nil"/>
              </w:pBdr>
              <w:jc w:val="right"/>
              <w:rPr>
                <w:color w:val="000000"/>
              </w:rPr>
            </w:pPr>
            <w:r>
              <w:rPr>
                <w:color w:val="000000"/>
              </w:rPr>
              <w:t>3,560</w:t>
            </w:r>
          </w:p>
        </w:tc>
        <w:tc>
          <w:tcPr>
            <w:tcW w:w="50" w:type="pct"/>
            <w:tcBorders>
              <w:top w:val="nil"/>
              <w:left w:val="nil"/>
              <w:bottom w:val="nil"/>
              <w:right w:val="nil"/>
            </w:tcBorders>
            <w:shd w:val="clear" w:color="auto" w:fill="FFFFFF"/>
            <w:vAlign w:val="bottom"/>
          </w:tcPr>
          <w:p w14:paraId="5F583625"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56220095"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717D377B"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single" w:sz="4" w:space="0" w:color="000000"/>
              <w:right w:val="nil"/>
            </w:tcBorders>
            <w:shd w:val="clear" w:color="auto" w:fill="FFFFFF"/>
            <w:vAlign w:val="bottom"/>
          </w:tcPr>
          <w:p w14:paraId="6BC66457" w14:textId="77777777" w:rsidR="00553543" w:rsidRDefault="00584985">
            <w:pPr>
              <w:keepNext/>
              <w:pBdr>
                <w:top w:val="nil"/>
                <w:left w:val="nil"/>
                <w:bottom w:val="nil"/>
                <w:right w:val="nil"/>
                <w:between w:val="nil"/>
                <w:bar w:val="nil"/>
              </w:pBdr>
              <w:jc w:val="right"/>
              <w:rPr>
                <w:color w:val="000000"/>
              </w:rPr>
            </w:pPr>
            <w:r>
              <w:rPr>
                <w:color w:val="000000"/>
              </w:rPr>
              <w:t>2,094</w:t>
            </w:r>
          </w:p>
        </w:tc>
        <w:tc>
          <w:tcPr>
            <w:tcW w:w="50" w:type="pct"/>
            <w:tcBorders>
              <w:top w:val="nil"/>
              <w:left w:val="nil"/>
              <w:bottom w:val="nil"/>
              <w:right w:val="nil"/>
            </w:tcBorders>
            <w:shd w:val="clear" w:color="auto" w:fill="FFFFFF"/>
            <w:vAlign w:val="bottom"/>
          </w:tcPr>
          <w:p w14:paraId="350444C8" w14:textId="77777777" w:rsidR="00553543" w:rsidRDefault="00553543">
            <w:pPr>
              <w:keepNext/>
              <w:pBdr>
                <w:top w:val="nil"/>
                <w:left w:val="nil"/>
                <w:bottom w:val="nil"/>
                <w:right w:val="nil"/>
                <w:between w:val="nil"/>
                <w:bar w:val="nil"/>
              </w:pBdr>
              <w:rPr>
                <w:color w:val="000000"/>
              </w:rPr>
            </w:pPr>
          </w:p>
        </w:tc>
      </w:tr>
      <w:tr w:rsidR="00553543" w14:paraId="5E6D10C4" w14:textId="77777777">
        <w:trPr>
          <w:jc w:val="center"/>
        </w:trPr>
        <w:tc>
          <w:tcPr>
            <w:tcW w:w="3349" w:type="pct"/>
            <w:tcBorders>
              <w:top w:val="nil"/>
              <w:left w:val="nil"/>
              <w:bottom w:val="nil"/>
              <w:right w:val="nil"/>
            </w:tcBorders>
            <w:shd w:val="clear" w:color="auto" w:fill="CFF0FC"/>
          </w:tcPr>
          <w:p w14:paraId="5819BFCA" w14:textId="77777777" w:rsidR="00553543" w:rsidRDefault="00584985">
            <w:pPr>
              <w:keepNext/>
              <w:pBdr>
                <w:top w:val="nil"/>
                <w:left w:val="nil"/>
                <w:bottom w:val="nil"/>
                <w:right w:val="nil"/>
                <w:between w:val="nil"/>
                <w:bar w:val="nil"/>
              </w:pBdr>
              <w:rPr>
                <w:color w:val="000000"/>
              </w:rPr>
            </w:pPr>
            <w:r>
              <w:rPr>
                <w:color w:val="000000"/>
              </w:rPr>
              <w:t>Adjusted net income</w:t>
            </w:r>
          </w:p>
        </w:tc>
        <w:tc>
          <w:tcPr>
            <w:tcW w:w="81" w:type="pct"/>
            <w:tcBorders>
              <w:top w:val="nil"/>
              <w:left w:val="nil"/>
              <w:bottom w:val="nil"/>
              <w:right w:val="nil"/>
            </w:tcBorders>
            <w:shd w:val="clear" w:color="auto" w:fill="CFF0FC"/>
            <w:vAlign w:val="bottom"/>
          </w:tcPr>
          <w:p w14:paraId="6EDF8ECF"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117680A8"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double" w:sz="6" w:space="0" w:color="000000"/>
              <w:right w:val="nil"/>
            </w:tcBorders>
            <w:shd w:val="clear" w:color="auto" w:fill="CFF0FC"/>
            <w:vAlign w:val="bottom"/>
          </w:tcPr>
          <w:p w14:paraId="0A325E6A" w14:textId="77777777" w:rsidR="00553543" w:rsidRDefault="00584985">
            <w:pPr>
              <w:keepNext/>
              <w:pBdr>
                <w:top w:val="nil"/>
                <w:left w:val="nil"/>
                <w:bottom w:val="nil"/>
                <w:right w:val="nil"/>
                <w:between w:val="nil"/>
                <w:bar w:val="nil"/>
              </w:pBdr>
              <w:jc w:val="right"/>
              <w:rPr>
                <w:color w:val="000000"/>
              </w:rPr>
            </w:pPr>
            <w:r>
              <w:rPr>
                <w:color w:val="000000"/>
              </w:rPr>
              <w:t>22,592</w:t>
            </w:r>
          </w:p>
        </w:tc>
        <w:tc>
          <w:tcPr>
            <w:tcW w:w="50" w:type="pct"/>
            <w:tcBorders>
              <w:top w:val="nil"/>
              <w:left w:val="nil"/>
              <w:bottom w:val="nil"/>
              <w:right w:val="nil"/>
            </w:tcBorders>
            <w:shd w:val="clear" w:color="auto" w:fill="CFF0FC"/>
            <w:vAlign w:val="bottom"/>
          </w:tcPr>
          <w:p w14:paraId="495CB085"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03ECB802"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2B5BE877"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double" w:sz="6" w:space="0" w:color="000000"/>
              <w:right w:val="nil"/>
            </w:tcBorders>
            <w:shd w:val="clear" w:color="auto" w:fill="CFF0FC"/>
            <w:vAlign w:val="bottom"/>
          </w:tcPr>
          <w:p w14:paraId="7FF1D87F" w14:textId="77777777" w:rsidR="00553543" w:rsidRDefault="00584985">
            <w:pPr>
              <w:keepNext/>
              <w:pBdr>
                <w:top w:val="nil"/>
                <w:left w:val="nil"/>
                <w:bottom w:val="nil"/>
                <w:right w:val="nil"/>
                <w:between w:val="nil"/>
                <w:bar w:val="nil"/>
              </w:pBdr>
              <w:jc w:val="right"/>
              <w:rPr>
                <w:color w:val="000000"/>
              </w:rPr>
            </w:pPr>
            <w:r>
              <w:rPr>
                <w:color w:val="000000"/>
              </w:rPr>
              <w:t>19,298</w:t>
            </w:r>
          </w:p>
        </w:tc>
        <w:tc>
          <w:tcPr>
            <w:tcW w:w="50" w:type="pct"/>
            <w:tcBorders>
              <w:top w:val="nil"/>
              <w:left w:val="nil"/>
              <w:bottom w:val="nil"/>
              <w:right w:val="nil"/>
            </w:tcBorders>
            <w:shd w:val="clear" w:color="auto" w:fill="CFF0FC"/>
            <w:vAlign w:val="bottom"/>
          </w:tcPr>
          <w:p w14:paraId="7C0B73F9" w14:textId="77777777" w:rsidR="00553543" w:rsidRDefault="00553543">
            <w:pPr>
              <w:keepNext/>
              <w:pBdr>
                <w:top w:val="nil"/>
                <w:left w:val="nil"/>
                <w:bottom w:val="nil"/>
                <w:right w:val="nil"/>
                <w:between w:val="nil"/>
                <w:bar w:val="nil"/>
              </w:pBdr>
              <w:rPr>
                <w:color w:val="000000"/>
              </w:rPr>
            </w:pPr>
          </w:p>
        </w:tc>
      </w:tr>
      <w:tr w:rsidR="00553543" w14:paraId="0D973A11" w14:textId="77777777">
        <w:trPr>
          <w:jc w:val="center"/>
        </w:trPr>
        <w:tc>
          <w:tcPr>
            <w:tcW w:w="3349" w:type="pct"/>
            <w:tcBorders>
              <w:top w:val="nil"/>
              <w:left w:val="nil"/>
              <w:bottom w:val="nil"/>
              <w:right w:val="nil"/>
            </w:tcBorders>
            <w:shd w:val="clear" w:color="auto" w:fill="FFFFFF"/>
          </w:tcPr>
          <w:p w14:paraId="19290C0B" w14:textId="77777777" w:rsidR="00553543" w:rsidRDefault="00584985">
            <w:pPr>
              <w:keepNext/>
              <w:pBdr>
                <w:top w:val="nil"/>
                <w:left w:val="nil"/>
                <w:bottom w:val="nil"/>
                <w:right w:val="nil"/>
                <w:between w:val="nil"/>
                <w:bar w:val="nil"/>
              </w:pBdr>
              <w:rPr>
                <w:color w:val="000000"/>
              </w:rPr>
            </w:pPr>
            <w:r>
              <w:rPr>
                <w:color w:val="000000"/>
              </w:rPr>
              <w:t>Adjusted net income per diluted share</w:t>
            </w:r>
          </w:p>
        </w:tc>
        <w:tc>
          <w:tcPr>
            <w:tcW w:w="81" w:type="pct"/>
            <w:tcBorders>
              <w:top w:val="nil"/>
              <w:left w:val="nil"/>
              <w:bottom w:val="nil"/>
              <w:right w:val="nil"/>
            </w:tcBorders>
            <w:shd w:val="clear" w:color="auto" w:fill="FFFFFF"/>
            <w:vAlign w:val="bottom"/>
          </w:tcPr>
          <w:p w14:paraId="56BFB77E" w14:textId="77777777" w:rsidR="00553543" w:rsidRDefault="00553543">
            <w:pPr>
              <w:keepNext/>
              <w:pBdr>
                <w:top w:val="nil"/>
                <w:left w:val="nil"/>
                <w:bottom w:val="nil"/>
                <w:right w:val="nil"/>
                <w:between w:val="nil"/>
                <w:bar w:val="nil"/>
              </w:pBdr>
              <w:rPr>
                <w:color w:val="000000"/>
              </w:rPr>
            </w:pPr>
          </w:p>
        </w:tc>
        <w:tc>
          <w:tcPr>
            <w:tcW w:w="53" w:type="pct"/>
            <w:tcBorders>
              <w:top w:val="double" w:sz="6" w:space="0" w:color="000000"/>
              <w:left w:val="nil"/>
              <w:bottom w:val="double" w:sz="6" w:space="0" w:color="000000"/>
              <w:right w:val="nil"/>
            </w:tcBorders>
            <w:shd w:val="clear" w:color="auto" w:fill="FFFFFF"/>
            <w:vAlign w:val="bottom"/>
          </w:tcPr>
          <w:p w14:paraId="13EF5124"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double" w:sz="6" w:space="0" w:color="000000"/>
              <w:left w:val="nil"/>
              <w:bottom w:val="double" w:sz="6" w:space="0" w:color="000000"/>
              <w:right w:val="nil"/>
            </w:tcBorders>
            <w:shd w:val="clear" w:color="auto" w:fill="FFFFFF"/>
            <w:vAlign w:val="bottom"/>
          </w:tcPr>
          <w:p w14:paraId="5F0888ED" w14:textId="77777777" w:rsidR="00553543" w:rsidRDefault="00584985">
            <w:pPr>
              <w:keepNext/>
              <w:pBdr>
                <w:top w:val="nil"/>
                <w:left w:val="nil"/>
                <w:bottom w:val="nil"/>
                <w:right w:val="nil"/>
                <w:between w:val="nil"/>
                <w:bar w:val="nil"/>
              </w:pBdr>
              <w:jc w:val="right"/>
              <w:rPr>
                <w:color w:val="000000"/>
              </w:rPr>
            </w:pPr>
            <w:r>
              <w:rPr>
                <w:color w:val="000000"/>
              </w:rPr>
              <w:t>0.22</w:t>
            </w:r>
          </w:p>
        </w:tc>
        <w:tc>
          <w:tcPr>
            <w:tcW w:w="50" w:type="pct"/>
            <w:tcBorders>
              <w:top w:val="nil"/>
              <w:left w:val="nil"/>
              <w:bottom w:val="nil"/>
              <w:right w:val="nil"/>
            </w:tcBorders>
            <w:shd w:val="clear" w:color="auto" w:fill="FFFFFF"/>
            <w:vAlign w:val="bottom"/>
          </w:tcPr>
          <w:p w14:paraId="6579C470"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0B71DC73" w14:textId="77777777" w:rsidR="00553543" w:rsidRDefault="00553543">
            <w:pPr>
              <w:keepNext/>
              <w:pBdr>
                <w:top w:val="nil"/>
                <w:left w:val="nil"/>
                <w:bottom w:val="nil"/>
                <w:right w:val="nil"/>
                <w:between w:val="nil"/>
                <w:bar w:val="nil"/>
              </w:pBdr>
              <w:rPr>
                <w:color w:val="000000"/>
              </w:rPr>
            </w:pPr>
          </w:p>
        </w:tc>
        <w:tc>
          <w:tcPr>
            <w:tcW w:w="53" w:type="pct"/>
            <w:tcBorders>
              <w:top w:val="double" w:sz="6" w:space="0" w:color="000000"/>
              <w:left w:val="nil"/>
              <w:bottom w:val="double" w:sz="6" w:space="0" w:color="000000"/>
              <w:right w:val="nil"/>
            </w:tcBorders>
            <w:shd w:val="clear" w:color="auto" w:fill="FFFFFF"/>
            <w:vAlign w:val="bottom"/>
          </w:tcPr>
          <w:p w14:paraId="2A22E080"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double" w:sz="6" w:space="0" w:color="000000"/>
              <w:left w:val="nil"/>
              <w:bottom w:val="double" w:sz="6" w:space="0" w:color="000000"/>
              <w:right w:val="nil"/>
            </w:tcBorders>
            <w:shd w:val="clear" w:color="auto" w:fill="FFFFFF"/>
            <w:vAlign w:val="bottom"/>
          </w:tcPr>
          <w:p w14:paraId="170B553C" w14:textId="77777777" w:rsidR="00553543" w:rsidRDefault="00584985">
            <w:pPr>
              <w:keepNext/>
              <w:pBdr>
                <w:top w:val="nil"/>
                <w:left w:val="nil"/>
                <w:bottom w:val="nil"/>
                <w:right w:val="nil"/>
                <w:between w:val="nil"/>
                <w:bar w:val="nil"/>
              </w:pBdr>
              <w:jc w:val="right"/>
              <w:rPr>
                <w:color w:val="000000"/>
              </w:rPr>
            </w:pPr>
            <w:r>
              <w:rPr>
                <w:color w:val="000000"/>
              </w:rPr>
              <w:t>0.19</w:t>
            </w:r>
          </w:p>
        </w:tc>
        <w:tc>
          <w:tcPr>
            <w:tcW w:w="50" w:type="pct"/>
            <w:tcBorders>
              <w:top w:val="nil"/>
              <w:left w:val="nil"/>
              <w:bottom w:val="nil"/>
              <w:right w:val="nil"/>
            </w:tcBorders>
            <w:shd w:val="clear" w:color="auto" w:fill="FFFFFF"/>
            <w:vAlign w:val="bottom"/>
          </w:tcPr>
          <w:p w14:paraId="28D1A442" w14:textId="77777777" w:rsidR="00553543" w:rsidRDefault="00553543">
            <w:pPr>
              <w:keepNext/>
              <w:pBdr>
                <w:top w:val="nil"/>
                <w:left w:val="nil"/>
                <w:bottom w:val="nil"/>
                <w:right w:val="nil"/>
                <w:between w:val="nil"/>
                <w:bar w:val="nil"/>
              </w:pBdr>
              <w:rPr>
                <w:color w:val="000000"/>
              </w:rPr>
            </w:pPr>
          </w:p>
        </w:tc>
      </w:tr>
      <w:tr w:rsidR="00553543" w14:paraId="13AC8B6E" w14:textId="77777777">
        <w:trPr>
          <w:jc w:val="center"/>
        </w:trPr>
        <w:tc>
          <w:tcPr>
            <w:tcW w:w="3349" w:type="pct"/>
            <w:tcBorders>
              <w:top w:val="nil"/>
              <w:left w:val="nil"/>
              <w:bottom w:val="nil"/>
              <w:right w:val="nil"/>
            </w:tcBorders>
            <w:shd w:val="clear" w:color="auto" w:fill="CFF0FC"/>
          </w:tcPr>
          <w:p w14:paraId="7D9B5997" w14:textId="77777777" w:rsidR="00553543" w:rsidRDefault="00584985">
            <w:pPr>
              <w:pBdr>
                <w:top w:val="nil"/>
                <w:left w:val="nil"/>
                <w:bottom w:val="nil"/>
                <w:right w:val="nil"/>
                <w:between w:val="nil"/>
                <w:bar w:val="nil"/>
              </w:pBdr>
              <w:rPr>
                <w:color w:val="000000"/>
              </w:rPr>
            </w:pPr>
            <w:r>
              <w:rPr>
                <w:color w:val="000000"/>
              </w:rPr>
              <w:t>Diluted weighted average shares outstanding</w:t>
            </w:r>
          </w:p>
        </w:tc>
        <w:tc>
          <w:tcPr>
            <w:tcW w:w="81" w:type="pct"/>
            <w:tcBorders>
              <w:top w:val="nil"/>
              <w:left w:val="nil"/>
              <w:bottom w:val="nil"/>
              <w:right w:val="nil"/>
            </w:tcBorders>
            <w:shd w:val="clear" w:color="auto" w:fill="CFF0FC"/>
            <w:vAlign w:val="bottom"/>
          </w:tcPr>
          <w:p w14:paraId="4BC8F7A2" w14:textId="77777777" w:rsidR="00553543" w:rsidRDefault="00553543">
            <w:pPr>
              <w:pBdr>
                <w:top w:val="nil"/>
                <w:left w:val="nil"/>
                <w:bottom w:val="nil"/>
                <w:right w:val="nil"/>
                <w:between w:val="nil"/>
                <w:bar w:val="nil"/>
              </w:pBdr>
              <w:rPr>
                <w:color w:val="000000"/>
              </w:rPr>
            </w:pPr>
          </w:p>
        </w:tc>
        <w:tc>
          <w:tcPr>
            <w:tcW w:w="53" w:type="pct"/>
            <w:tcBorders>
              <w:top w:val="double" w:sz="6" w:space="0" w:color="000000"/>
              <w:left w:val="nil"/>
              <w:bottom w:val="double" w:sz="6" w:space="0" w:color="000000"/>
              <w:right w:val="nil"/>
            </w:tcBorders>
            <w:shd w:val="clear" w:color="auto" w:fill="CFF0FC"/>
            <w:vAlign w:val="bottom"/>
          </w:tcPr>
          <w:p w14:paraId="77D0CC67" w14:textId="77777777" w:rsidR="00553543" w:rsidRDefault="00553543">
            <w:pPr>
              <w:pBdr>
                <w:top w:val="nil"/>
                <w:left w:val="nil"/>
                <w:bottom w:val="nil"/>
                <w:right w:val="nil"/>
                <w:between w:val="nil"/>
                <w:bar w:val="nil"/>
              </w:pBdr>
              <w:rPr>
                <w:color w:val="000000"/>
              </w:rPr>
            </w:pPr>
          </w:p>
        </w:tc>
        <w:tc>
          <w:tcPr>
            <w:tcW w:w="641" w:type="pct"/>
            <w:tcBorders>
              <w:top w:val="double" w:sz="6" w:space="0" w:color="000000"/>
              <w:left w:val="nil"/>
              <w:bottom w:val="double" w:sz="6" w:space="0" w:color="000000"/>
              <w:right w:val="nil"/>
            </w:tcBorders>
            <w:shd w:val="clear" w:color="auto" w:fill="CFF0FC"/>
            <w:vAlign w:val="bottom"/>
          </w:tcPr>
          <w:p w14:paraId="203E815B" w14:textId="77777777" w:rsidR="00553543" w:rsidRDefault="00584985">
            <w:pPr>
              <w:pBdr>
                <w:top w:val="nil"/>
                <w:left w:val="nil"/>
                <w:bottom w:val="nil"/>
                <w:right w:val="nil"/>
                <w:between w:val="nil"/>
                <w:bar w:val="nil"/>
              </w:pBdr>
              <w:jc w:val="right"/>
              <w:rPr>
                <w:color w:val="000000"/>
              </w:rPr>
            </w:pPr>
            <w:r>
              <w:rPr>
                <w:color w:val="000000"/>
              </w:rPr>
              <w:t>105,077</w:t>
            </w:r>
          </w:p>
        </w:tc>
        <w:tc>
          <w:tcPr>
            <w:tcW w:w="50" w:type="pct"/>
            <w:tcBorders>
              <w:top w:val="nil"/>
              <w:left w:val="nil"/>
              <w:bottom w:val="nil"/>
              <w:right w:val="nil"/>
            </w:tcBorders>
            <w:shd w:val="clear" w:color="auto" w:fill="CFF0FC"/>
            <w:vAlign w:val="bottom"/>
          </w:tcPr>
          <w:p w14:paraId="18F5564E" w14:textId="77777777" w:rsidR="00553543" w:rsidRDefault="00553543">
            <w:pPr>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16FCA470" w14:textId="77777777" w:rsidR="00553543" w:rsidRDefault="00553543">
            <w:pPr>
              <w:pBdr>
                <w:top w:val="nil"/>
                <w:left w:val="nil"/>
                <w:bottom w:val="nil"/>
                <w:right w:val="nil"/>
                <w:between w:val="nil"/>
                <w:bar w:val="nil"/>
              </w:pBdr>
              <w:rPr>
                <w:color w:val="000000"/>
              </w:rPr>
            </w:pPr>
          </w:p>
        </w:tc>
        <w:tc>
          <w:tcPr>
            <w:tcW w:w="53" w:type="pct"/>
            <w:tcBorders>
              <w:top w:val="double" w:sz="6" w:space="0" w:color="000000"/>
              <w:left w:val="nil"/>
              <w:bottom w:val="double" w:sz="6" w:space="0" w:color="000000"/>
              <w:right w:val="nil"/>
            </w:tcBorders>
            <w:shd w:val="clear" w:color="auto" w:fill="CFF0FC"/>
            <w:vAlign w:val="bottom"/>
          </w:tcPr>
          <w:p w14:paraId="753D15B4" w14:textId="77777777" w:rsidR="00553543" w:rsidRDefault="00553543">
            <w:pPr>
              <w:pBdr>
                <w:top w:val="nil"/>
                <w:left w:val="nil"/>
                <w:bottom w:val="nil"/>
                <w:right w:val="nil"/>
                <w:between w:val="nil"/>
                <w:bar w:val="nil"/>
              </w:pBdr>
              <w:rPr>
                <w:color w:val="000000"/>
              </w:rPr>
            </w:pPr>
          </w:p>
        </w:tc>
        <w:tc>
          <w:tcPr>
            <w:tcW w:w="641" w:type="pct"/>
            <w:tcBorders>
              <w:top w:val="double" w:sz="6" w:space="0" w:color="000000"/>
              <w:left w:val="nil"/>
              <w:bottom w:val="double" w:sz="6" w:space="0" w:color="000000"/>
              <w:right w:val="nil"/>
            </w:tcBorders>
            <w:shd w:val="clear" w:color="auto" w:fill="CFF0FC"/>
            <w:vAlign w:val="bottom"/>
          </w:tcPr>
          <w:p w14:paraId="4376A35C" w14:textId="77777777" w:rsidR="00553543" w:rsidRDefault="00584985">
            <w:pPr>
              <w:pBdr>
                <w:top w:val="nil"/>
                <w:left w:val="nil"/>
                <w:bottom w:val="nil"/>
                <w:right w:val="nil"/>
                <w:between w:val="nil"/>
                <w:bar w:val="nil"/>
              </w:pBdr>
              <w:jc w:val="right"/>
              <w:rPr>
                <w:color w:val="000000"/>
              </w:rPr>
            </w:pPr>
            <w:r>
              <w:rPr>
                <w:color w:val="000000"/>
              </w:rPr>
              <w:t>102,933</w:t>
            </w:r>
          </w:p>
        </w:tc>
        <w:tc>
          <w:tcPr>
            <w:tcW w:w="50" w:type="pct"/>
            <w:tcBorders>
              <w:top w:val="nil"/>
              <w:left w:val="nil"/>
              <w:bottom w:val="nil"/>
              <w:right w:val="nil"/>
            </w:tcBorders>
            <w:shd w:val="clear" w:color="auto" w:fill="CFF0FC"/>
            <w:vAlign w:val="bottom"/>
          </w:tcPr>
          <w:p w14:paraId="3965DBC3" w14:textId="77777777" w:rsidR="00553543" w:rsidRDefault="00553543">
            <w:pPr>
              <w:pBdr>
                <w:top w:val="nil"/>
                <w:left w:val="nil"/>
                <w:bottom w:val="nil"/>
                <w:right w:val="nil"/>
                <w:between w:val="nil"/>
                <w:bar w:val="nil"/>
              </w:pBdr>
              <w:rPr>
                <w:color w:val="000000"/>
              </w:rPr>
            </w:pPr>
          </w:p>
        </w:tc>
      </w:tr>
    </w:tbl>
    <w:p w14:paraId="5D6DA84B" w14:textId="77777777" w:rsidR="00553543" w:rsidRDefault="00553543">
      <w:pPr>
        <w:pBdr>
          <w:top w:val="nil"/>
          <w:left w:val="nil"/>
          <w:bottom w:val="nil"/>
          <w:right w:val="nil"/>
          <w:between w:val="nil"/>
          <w:bar w:val="nil"/>
        </w:pBdr>
        <w:rPr>
          <w:color w:val="000000"/>
        </w:rPr>
      </w:pPr>
    </w:p>
    <w:p w14:paraId="52DE1AF7" w14:textId="77777777" w:rsidR="00553543" w:rsidRDefault="00584985">
      <w:pPr>
        <w:pBdr>
          <w:top w:val="nil"/>
          <w:left w:val="nil"/>
          <w:bottom w:val="nil"/>
          <w:right w:val="nil"/>
          <w:between w:val="nil"/>
          <w:bar w:val="nil"/>
        </w:pBdr>
        <w:rPr>
          <w:color w:val="000000"/>
        </w:rPr>
      </w:pPr>
      <w:r>
        <w:rPr>
          <w:color w:val="000000"/>
        </w:rPr>
        <w:t>(a) Depreciation and amortization refers to addback of purchase price adjustments to tangible and intangible assets resulting from the Business Combination.</w:t>
      </w:r>
    </w:p>
    <w:p w14:paraId="2DBD47C7" w14:textId="77777777" w:rsidR="00553543" w:rsidRDefault="00584985">
      <w:pPr>
        <w:pBdr>
          <w:top w:val="nil"/>
          <w:left w:val="nil"/>
          <w:bottom w:val="nil"/>
          <w:right w:val="nil"/>
          <w:between w:val="nil"/>
          <w:bar w:val="nil"/>
        </w:pBdr>
        <w:rPr>
          <w:color w:val="000000"/>
        </w:rPr>
      </w:pPr>
      <w:r>
        <w:rPr>
          <w:color w:val="000000"/>
        </w:rPr>
        <w:t xml:space="preserve"> </w:t>
      </w:r>
    </w:p>
    <w:p w14:paraId="51777329" w14:textId="77777777" w:rsidR="00553543" w:rsidRDefault="00584985">
      <w:pPr>
        <w:pBdr>
          <w:top w:val="nil"/>
          <w:left w:val="nil"/>
          <w:bottom w:val="nil"/>
          <w:right w:val="nil"/>
          <w:between w:val="nil"/>
          <w:bar w:val="nil"/>
        </w:pBdr>
        <w:rPr>
          <w:color w:val="000000"/>
        </w:rPr>
      </w:pPr>
      <w:r>
        <w:rPr>
          <w:color w:val="000000"/>
        </w:rPr>
        <w:t>The following table reconciles Net income to Adjusted EBITDA for the first quarters ended March 31, 2025 and 2024 (amounts in thousands):</w:t>
      </w:r>
    </w:p>
    <w:p w14:paraId="6E89CBE0" w14:textId="77777777" w:rsidR="00553543" w:rsidRDefault="00553543">
      <w:pPr>
        <w:pBdr>
          <w:top w:val="nil"/>
          <w:left w:val="nil"/>
          <w:bottom w:val="nil"/>
          <w:right w:val="nil"/>
          <w:between w:val="nil"/>
          <w:bar w:val="nil"/>
        </w:pBd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14" w:type="dxa"/>
        </w:tblCellMar>
        <w:tblLook w:val="04A0" w:firstRow="1" w:lastRow="0" w:firstColumn="1" w:lastColumn="0" w:noHBand="0" w:noVBand="1"/>
      </w:tblPr>
      <w:tblGrid>
        <w:gridCol w:w="7236"/>
        <w:gridCol w:w="175"/>
        <w:gridCol w:w="114"/>
        <w:gridCol w:w="1385"/>
        <w:gridCol w:w="108"/>
        <w:gridCol w:w="175"/>
        <w:gridCol w:w="114"/>
        <w:gridCol w:w="1385"/>
        <w:gridCol w:w="108"/>
      </w:tblGrid>
      <w:tr w:rsidR="00553543" w14:paraId="32A78275" w14:textId="77777777">
        <w:trPr>
          <w:cantSplit/>
          <w:jc w:val="center"/>
        </w:trPr>
        <w:tc>
          <w:tcPr>
            <w:tcW w:w="3349" w:type="pct"/>
            <w:tcBorders>
              <w:top w:val="nil"/>
              <w:left w:val="nil"/>
              <w:bottom w:val="nil"/>
              <w:right w:val="nil"/>
            </w:tcBorders>
            <w:shd w:val="clear" w:color="auto" w:fill="FFFFFF"/>
            <w:vAlign w:val="bottom"/>
          </w:tcPr>
          <w:p w14:paraId="375F445D"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5CCE8484" w14:textId="77777777" w:rsidR="00553543" w:rsidRDefault="00553543">
            <w:pPr>
              <w:keepNext/>
              <w:pBdr>
                <w:top w:val="nil"/>
                <w:left w:val="nil"/>
                <w:bottom w:val="nil"/>
                <w:right w:val="nil"/>
                <w:between w:val="nil"/>
                <w:bar w:val="nil"/>
              </w:pBdr>
              <w:rPr>
                <w:b/>
                <w:color w:val="000000"/>
              </w:rPr>
            </w:pPr>
          </w:p>
        </w:tc>
        <w:tc>
          <w:tcPr>
            <w:tcW w:w="0" w:type="auto"/>
            <w:gridSpan w:val="6"/>
            <w:tcBorders>
              <w:top w:val="nil"/>
              <w:left w:val="nil"/>
              <w:bottom w:val="nil"/>
              <w:right w:val="nil"/>
            </w:tcBorders>
            <w:shd w:val="clear" w:color="auto" w:fill="FFFFFF"/>
            <w:vAlign w:val="bottom"/>
          </w:tcPr>
          <w:p w14:paraId="79BEA8E5" w14:textId="77777777" w:rsidR="00553543" w:rsidRDefault="00584985">
            <w:pPr>
              <w:keepNext/>
              <w:pBdr>
                <w:top w:val="nil"/>
                <w:left w:val="nil"/>
                <w:bottom w:val="nil"/>
                <w:right w:val="nil"/>
                <w:between w:val="nil"/>
                <w:bar w:val="nil"/>
              </w:pBdr>
              <w:jc w:val="center"/>
              <w:rPr>
                <w:b/>
                <w:color w:val="000000"/>
              </w:rPr>
            </w:pPr>
            <w:r>
              <w:rPr>
                <w:b/>
                <w:color w:val="000000"/>
              </w:rPr>
              <w:t>Three Months Ended</w:t>
            </w:r>
          </w:p>
        </w:tc>
        <w:tc>
          <w:tcPr>
            <w:tcW w:w="50" w:type="pct"/>
            <w:tcBorders>
              <w:top w:val="nil"/>
              <w:left w:val="nil"/>
              <w:bottom w:val="nil"/>
              <w:right w:val="nil"/>
            </w:tcBorders>
            <w:shd w:val="clear" w:color="auto" w:fill="FFFFFF"/>
            <w:vAlign w:val="bottom"/>
          </w:tcPr>
          <w:p w14:paraId="22625D71" w14:textId="77777777" w:rsidR="00553543" w:rsidRDefault="00553543">
            <w:pPr>
              <w:keepNext/>
              <w:pBdr>
                <w:top w:val="nil"/>
                <w:left w:val="nil"/>
                <w:bottom w:val="nil"/>
                <w:right w:val="nil"/>
                <w:between w:val="nil"/>
                <w:bar w:val="nil"/>
              </w:pBdr>
              <w:jc w:val="center"/>
              <w:rPr>
                <w:b/>
                <w:color w:val="000000"/>
              </w:rPr>
            </w:pPr>
          </w:p>
        </w:tc>
      </w:tr>
      <w:tr w:rsidR="00553543" w14:paraId="1C4F9E5C" w14:textId="77777777">
        <w:trPr>
          <w:cantSplit/>
          <w:jc w:val="center"/>
        </w:trPr>
        <w:tc>
          <w:tcPr>
            <w:tcW w:w="3349" w:type="pct"/>
            <w:tcBorders>
              <w:top w:val="nil"/>
              <w:left w:val="nil"/>
              <w:bottom w:val="nil"/>
              <w:right w:val="nil"/>
            </w:tcBorders>
            <w:shd w:val="clear" w:color="auto" w:fill="FFFFFF"/>
            <w:vAlign w:val="bottom"/>
          </w:tcPr>
          <w:p w14:paraId="5F448424"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628E3769" w14:textId="77777777" w:rsidR="00553543" w:rsidRDefault="00553543">
            <w:pPr>
              <w:keepNext/>
              <w:pBdr>
                <w:top w:val="nil"/>
                <w:left w:val="nil"/>
                <w:bottom w:val="nil"/>
                <w:right w:val="nil"/>
                <w:between w:val="nil"/>
                <w:bar w:val="nil"/>
              </w:pBdr>
              <w:rPr>
                <w:b/>
                <w:color w:val="000000"/>
              </w:rPr>
            </w:pPr>
          </w:p>
        </w:tc>
        <w:tc>
          <w:tcPr>
            <w:tcW w:w="0" w:type="auto"/>
            <w:gridSpan w:val="6"/>
            <w:tcBorders>
              <w:top w:val="nil"/>
              <w:left w:val="nil"/>
              <w:bottom w:val="single" w:sz="4" w:space="0" w:color="000000"/>
              <w:right w:val="nil"/>
            </w:tcBorders>
            <w:shd w:val="clear" w:color="auto" w:fill="FFFFFF"/>
            <w:vAlign w:val="bottom"/>
          </w:tcPr>
          <w:p w14:paraId="04F0AB4A" w14:textId="77777777" w:rsidR="00553543" w:rsidRDefault="00584985">
            <w:pPr>
              <w:keepNext/>
              <w:pBdr>
                <w:top w:val="nil"/>
                <w:left w:val="nil"/>
                <w:bottom w:val="nil"/>
                <w:right w:val="nil"/>
                <w:between w:val="nil"/>
                <w:bar w:val="nil"/>
              </w:pBdr>
              <w:jc w:val="center"/>
              <w:rPr>
                <w:b/>
                <w:color w:val="000000"/>
              </w:rPr>
            </w:pPr>
            <w:r>
              <w:rPr>
                <w:b/>
                <w:color w:val="000000"/>
              </w:rPr>
              <w:t>March 31,</w:t>
            </w:r>
          </w:p>
        </w:tc>
        <w:tc>
          <w:tcPr>
            <w:tcW w:w="50" w:type="pct"/>
            <w:tcBorders>
              <w:top w:val="nil"/>
              <w:left w:val="nil"/>
              <w:bottom w:val="nil"/>
              <w:right w:val="nil"/>
            </w:tcBorders>
            <w:shd w:val="clear" w:color="auto" w:fill="FFFFFF"/>
            <w:vAlign w:val="bottom"/>
          </w:tcPr>
          <w:p w14:paraId="1FE7D7D4" w14:textId="77777777" w:rsidR="00553543" w:rsidRDefault="00553543">
            <w:pPr>
              <w:keepNext/>
              <w:pBdr>
                <w:top w:val="nil"/>
                <w:left w:val="nil"/>
                <w:bottom w:val="nil"/>
                <w:right w:val="nil"/>
                <w:between w:val="nil"/>
                <w:bar w:val="nil"/>
              </w:pBdr>
              <w:jc w:val="center"/>
              <w:rPr>
                <w:b/>
                <w:color w:val="000000"/>
              </w:rPr>
            </w:pPr>
          </w:p>
        </w:tc>
      </w:tr>
      <w:tr w:rsidR="00553543" w14:paraId="37ACCB91" w14:textId="77777777">
        <w:trPr>
          <w:cantSplit/>
          <w:jc w:val="center"/>
        </w:trPr>
        <w:tc>
          <w:tcPr>
            <w:tcW w:w="3349" w:type="pct"/>
            <w:tcBorders>
              <w:top w:val="nil"/>
              <w:left w:val="nil"/>
              <w:bottom w:val="nil"/>
              <w:right w:val="nil"/>
            </w:tcBorders>
            <w:shd w:val="clear" w:color="auto" w:fill="FFFFFF"/>
            <w:vAlign w:val="bottom"/>
          </w:tcPr>
          <w:p w14:paraId="357AE7B2" w14:textId="77777777" w:rsidR="00553543" w:rsidRDefault="00553543">
            <w:pPr>
              <w:keepNext/>
              <w:pBdr>
                <w:top w:val="nil"/>
                <w:left w:val="nil"/>
                <w:bottom w:val="nil"/>
                <w:right w:val="nil"/>
                <w:between w:val="nil"/>
                <w:bar w:val="nil"/>
              </w:pBdr>
              <w:jc w:val="center"/>
              <w:rPr>
                <w:b/>
                <w:color w:val="000000"/>
              </w:rPr>
            </w:pPr>
          </w:p>
        </w:tc>
        <w:tc>
          <w:tcPr>
            <w:tcW w:w="81" w:type="pct"/>
            <w:tcBorders>
              <w:top w:val="nil"/>
              <w:left w:val="nil"/>
              <w:bottom w:val="nil"/>
              <w:right w:val="nil"/>
            </w:tcBorders>
            <w:shd w:val="clear" w:color="auto" w:fill="FFFFFF"/>
            <w:vAlign w:val="bottom"/>
          </w:tcPr>
          <w:p w14:paraId="47175AF3" w14:textId="77777777" w:rsidR="00553543" w:rsidRDefault="00553543">
            <w:pPr>
              <w:keepNext/>
              <w:pBdr>
                <w:top w:val="nil"/>
                <w:left w:val="nil"/>
                <w:bottom w:val="nil"/>
                <w:right w:val="nil"/>
                <w:between w:val="nil"/>
                <w:bar w:val="nil"/>
              </w:pBd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6608FA76" w14:textId="77777777" w:rsidR="00553543" w:rsidRDefault="00584985">
            <w:pPr>
              <w:keepNext/>
              <w:pBdr>
                <w:top w:val="nil"/>
                <w:left w:val="nil"/>
                <w:bottom w:val="nil"/>
                <w:right w:val="nil"/>
                <w:between w:val="nil"/>
                <w:bar w:val="nil"/>
              </w:pBdr>
              <w:jc w:val="center"/>
              <w:rPr>
                <w:b/>
                <w:color w:val="000000"/>
              </w:rPr>
            </w:pPr>
            <w:r>
              <w:rPr>
                <w:b/>
                <w:color w:val="000000"/>
              </w:rPr>
              <w:t>2025</w:t>
            </w:r>
          </w:p>
        </w:tc>
        <w:tc>
          <w:tcPr>
            <w:tcW w:w="50" w:type="pct"/>
            <w:tcBorders>
              <w:top w:val="nil"/>
              <w:left w:val="nil"/>
              <w:bottom w:val="nil"/>
              <w:right w:val="nil"/>
            </w:tcBorders>
            <w:shd w:val="clear" w:color="auto" w:fill="FFFFFF"/>
            <w:vAlign w:val="bottom"/>
          </w:tcPr>
          <w:p w14:paraId="017D6713" w14:textId="77777777" w:rsidR="00553543" w:rsidRDefault="00553543">
            <w:pPr>
              <w:keepNext/>
              <w:pBdr>
                <w:top w:val="nil"/>
                <w:left w:val="nil"/>
                <w:bottom w:val="nil"/>
                <w:right w:val="nil"/>
                <w:between w:val="nil"/>
                <w:bar w:val="nil"/>
              </w:pBdr>
              <w:jc w:val="center"/>
              <w:rPr>
                <w:b/>
                <w:color w:val="000000"/>
              </w:rPr>
            </w:pPr>
          </w:p>
        </w:tc>
        <w:tc>
          <w:tcPr>
            <w:tcW w:w="81" w:type="pct"/>
            <w:tcBorders>
              <w:top w:val="single" w:sz="4" w:space="0" w:color="000000"/>
              <w:left w:val="nil"/>
              <w:bottom w:val="nil"/>
              <w:right w:val="nil"/>
            </w:tcBorders>
            <w:shd w:val="clear" w:color="auto" w:fill="FFFFFF"/>
            <w:vAlign w:val="bottom"/>
          </w:tcPr>
          <w:p w14:paraId="42E7EE16" w14:textId="77777777" w:rsidR="00553543" w:rsidRDefault="00553543">
            <w:pPr>
              <w:keepNext/>
              <w:pBdr>
                <w:top w:val="nil"/>
                <w:left w:val="nil"/>
                <w:bottom w:val="nil"/>
                <w:right w:val="nil"/>
                <w:between w:val="nil"/>
                <w:bar w:val="nil"/>
              </w:pBdr>
              <w:rPr>
                <w:b/>
                <w:color w:val="000000"/>
              </w:rPr>
            </w:pPr>
          </w:p>
        </w:tc>
        <w:tc>
          <w:tcPr>
            <w:tcW w:w="0" w:type="auto"/>
            <w:gridSpan w:val="2"/>
            <w:tcBorders>
              <w:top w:val="single" w:sz="4" w:space="0" w:color="000000"/>
              <w:left w:val="nil"/>
              <w:bottom w:val="single" w:sz="4" w:space="0" w:color="000000"/>
              <w:right w:val="nil"/>
            </w:tcBorders>
            <w:shd w:val="clear" w:color="auto" w:fill="FFFFFF"/>
            <w:vAlign w:val="bottom"/>
          </w:tcPr>
          <w:p w14:paraId="56A5A5F2" w14:textId="77777777" w:rsidR="00553543" w:rsidRDefault="00584985">
            <w:pPr>
              <w:keepNext/>
              <w:pBdr>
                <w:top w:val="nil"/>
                <w:left w:val="nil"/>
                <w:bottom w:val="nil"/>
                <w:right w:val="nil"/>
                <w:between w:val="nil"/>
                <w:bar w:val="nil"/>
              </w:pBdr>
              <w:jc w:val="center"/>
              <w:rPr>
                <w:b/>
                <w:color w:val="000000"/>
              </w:rPr>
            </w:pPr>
            <w:r>
              <w:rPr>
                <w:b/>
                <w:color w:val="000000"/>
              </w:rPr>
              <w:t>2024</w:t>
            </w:r>
          </w:p>
        </w:tc>
        <w:tc>
          <w:tcPr>
            <w:tcW w:w="50" w:type="pct"/>
            <w:tcBorders>
              <w:top w:val="nil"/>
              <w:left w:val="nil"/>
              <w:bottom w:val="nil"/>
              <w:right w:val="nil"/>
            </w:tcBorders>
            <w:shd w:val="clear" w:color="auto" w:fill="FFFFFF"/>
            <w:vAlign w:val="bottom"/>
          </w:tcPr>
          <w:p w14:paraId="2BDC260F" w14:textId="77777777" w:rsidR="00553543" w:rsidRDefault="00553543">
            <w:pPr>
              <w:keepNext/>
              <w:pBdr>
                <w:top w:val="nil"/>
                <w:left w:val="nil"/>
                <w:bottom w:val="nil"/>
                <w:right w:val="nil"/>
                <w:between w:val="nil"/>
                <w:bar w:val="nil"/>
              </w:pBdr>
              <w:jc w:val="center"/>
              <w:rPr>
                <w:b/>
                <w:color w:val="000000"/>
              </w:rPr>
            </w:pPr>
          </w:p>
        </w:tc>
      </w:tr>
      <w:tr w:rsidR="00553543" w14:paraId="2EE26ED7" w14:textId="77777777">
        <w:trPr>
          <w:cantSplit/>
          <w:jc w:val="center"/>
        </w:trPr>
        <w:tc>
          <w:tcPr>
            <w:tcW w:w="3349" w:type="pct"/>
            <w:tcBorders>
              <w:top w:val="nil"/>
              <w:left w:val="nil"/>
              <w:bottom w:val="nil"/>
              <w:right w:val="nil"/>
            </w:tcBorders>
            <w:shd w:val="clear" w:color="auto" w:fill="CFF0FC"/>
          </w:tcPr>
          <w:p w14:paraId="7B0A4367" w14:textId="77777777" w:rsidR="00553543" w:rsidRDefault="00584985">
            <w:pPr>
              <w:keepNext/>
              <w:pBdr>
                <w:top w:val="nil"/>
                <w:left w:val="nil"/>
                <w:bottom w:val="nil"/>
                <w:right w:val="nil"/>
                <w:between w:val="nil"/>
                <w:bar w:val="nil"/>
              </w:pBdr>
              <w:rPr>
                <w:color w:val="000000"/>
              </w:rPr>
            </w:pPr>
            <w:r>
              <w:rPr>
                <w:color w:val="000000"/>
              </w:rPr>
              <w:t>Net income</w:t>
            </w:r>
          </w:p>
        </w:tc>
        <w:tc>
          <w:tcPr>
            <w:tcW w:w="81" w:type="pct"/>
            <w:tcBorders>
              <w:top w:val="nil"/>
              <w:left w:val="nil"/>
              <w:bottom w:val="nil"/>
              <w:right w:val="nil"/>
            </w:tcBorders>
            <w:shd w:val="clear" w:color="auto" w:fill="CFF0FC"/>
            <w:vAlign w:val="bottom"/>
          </w:tcPr>
          <w:p w14:paraId="53C8BC6E"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56F1A519"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nil"/>
              <w:right w:val="nil"/>
            </w:tcBorders>
            <w:shd w:val="clear" w:color="auto" w:fill="CFF0FC"/>
            <w:vAlign w:val="bottom"/>
          </w:tcPr>
          <w:p w14:paraId="0F578175" w14:textId="77777777" w:rsidR="00553543" w:rsidRDefault="00584985">
            <w:pPr>
              <w:keepNext/>
              <w:pBdr>
                <w:top w:val="nil"/>
                <w:left w:val="nil"/>
                <w:bottom w:val="nil"/>
                <w:right w:val="nil"/>
                <w:between w:val="nil"/>
                <w:bar w:val="nil"/>
              </w:pBdr>
              <w:jc w:val="right"/>
              <w:rPr>
                <w:color w:val="000000"/>
              </w:rPr>
            </w:pPr>
            <w:r>
              <w:rPr>
                <w:color w:val="000000"/>
              </w:rPr>
              <w:t>15,271</w:t>
            </w:r>
          </w:p>
        </w:tc>
        <w:tc>
          <w:tcPr>
            <w:tcW w:w="50" w:type="pct"/>
            <w:tcBorders>
              <w:top w:val="nil"/>
              <w:left w:val="nil"/>
              <w:bottom w:val="nil"/>
              <w:right w:val="nil"/>
            </w:tcBorders>
            <w:shd w:val="clear" w:color="auto" w:fill="CFF0FC"/>
            <w:vAlign w:val="bottom"/>
          </w:tcPr>
          <w:p w14:paraId="2B0E2306"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58625586" w14:textId="77777777" w:rsidR="00553543" w:rsidRDefault="00553543">
            <w:pPr>
              <w:keepNext/>
              <w:pBdr>
                <w:top w:val="nil"/>
                <w:left w:val="nil"/>
                <w:bottom w:val="nil"/>
                <w:right w:val="nil"/>
                <w:between w:val="nil"/>
                <w:bar w:val="nil"/>
              </w:pBdr>
              <w:rPr>
                <w:color w:val="000000"/>
              </w:rPr>
            </w:pPr>
          </w:p>
        </w:tc>
        <w:tc>
          <w:tcPr>
            <w:tcW w:w="53" w:type="pct"/>
            <w:tcBorders>
              <w:top w:val="single" w:sz="4" w:space="0" w:color="000000"/>
              <w:left w:val="nil"/>
              <w:bottom w:val="nil"/>
              <w:right w:val="nil"/>
            </w:tcBorders>
            <w:shd w:val="clear" w:color="auto" w:fill="CFF0FC"/>
            <w:vAlign w:val="bottom"/>
          </w:tcPr>
          <w:p w14:paraId="4F77E64C" w14:textId="77777777" w:rsidR="00553543" w:rsidRDefault="00584985">
            <w:pPr>
              <w:keepNext/>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nil"/>
              <w:right w:val="nil"/>
            </w:tcBorders>
            <w:shd w:val="clear" w:color="auto" w:fill="CFF0FC"/>
            <w:vAlign w:val="bottom"/>
          </w:tcPr>
          <w:p w14:paraId="45CACBAC" w14:textId="77777777" w:rsidR="00553543" w:rsidRDefault="00584985">
            <w:pPr>
              <w:keepNext/>
              <w:pBdr>
                <w:top w:val="nil"/>
                <w:left w:val="nil"/>
                <w:bottom w:val="nil"/>
                <w:right w:val="nil"/>
                <w:between w:val="nil"/>
                <w:bar w:val="nil"/>
              </w:pBdr>
              <w:jc w:val="right"/>
              <w:rPr>
                <w:color w:val="000000"/>
              </w:rPr>
            </w:pPr>
            <w:r>
              <w:rPr>
                <w:color w:val="000000"/>
              </w:rPr>
              <w:t>21,166</w:t>
            </w:r>
          </w:p>
        </w:tc>
        <w:tc>
          <w:tcPr>
            <w:tcW w:w="50" w:type="pct"/>
            <w:tcBorders>
              <w:top w:val="nil"/>
              <w:left w:val="nil"/>
              <w:bottom w:val="nil"/>
              <w:right w:val="nil"/>
            </w:tcBorders>
            <w:shd w:val="clear" w:color="auto" w:fill="CFF0FC"/>
            <w:vAlign w:val="bottom"/>
          </w:tcPr>
          <w:p w14:paraId="0FF46C11" w14:textId="77777777" w:rsidR="00553543" w:rsidRDefault="00553543">
            <w:pPr>
              <w:keepNext/>
              <w:pBdr>
                <w:top w:val="nil"/>
                <w:left w:val="nil"/>
                <w:bottom w:val="nil"/>
                <w:right w:val="nil"/>
                <w:between w:val="nil"/>
                <w:bar w:val="nil"/>
              </w:pBdr>
              <w:rPr>
                <w:color w:val="000000"/>
              </w:rPr>
            </w:pPr>
          </w:p>
        </w:tc>
      </w:tr>
      <w:tr w:rsidR="00553543" w14:paraId="2FC3135C" w14:textId="77777777">
        <w:trPr>
          <w:cantSplit/>
          <w:jc w:val="center"/>
        </w:trPr>
        <w:tc>
          <w:tcPr>
            <w:tcW w:w="3349" w:type="pct"/>
            <w:tcBorders>
              <w:top w:val="nil"/>
              <w:left w:val="nil"/>
              <w:bottom w:val="nil"/>
              <w:right w:val="nil"/>
            </w:tcBorders>
            <w:shd w:val="clear" w:color="auto" w:fill="FFFFFF"/>
          </w:tcPr>
          <w:p w14:paraId="3FC2FD74" w14:textId="77777777" w:rsidR="00553543" w:rsidRDefault="00584985">
            <w:pPr>
              <w:keepNext/>
              <w:pBdr>
                <w:top w:val="nil"/>
                <w:left w:val="nil"/>
                <w:bottom w:val="nil"/>
                <w:right w:val="nil"/>
                <w:between w:val="nil"/>
                <w:bar w:val="nil"/>
              </w:pBdr>
              <w:rPr>
                <w:color w:val="000000"/>
              </w:rPr>
            </w:pPr>
            <w:r>
              <w:rPr>
                <w:color w:val="000000"/>
              </w:rPr>
              <w:t>Income tax expense</w:t>
            </w:r>
          </w:p>
        </w:tc>
        <w:tc>
          <w:tcPr>
            <w:tcW w:w="81" w:type="pct"/>
            <w:tcBorders>
              <w:top w:val="nil"/>
              <w:left w:val="nil"/>
              <w:bottom w:val="nil"/>
              <w:right w:val="nil"/>
            </w:tcBorders>
            <w:shd w:val="clear" w:color="auto" w:fill="FFFFFF"/>
            <w:vAlign w:val="bottom"/>
          </w:tcPr>
          <w:p w14:paraId="368232B1"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3BDF8B30"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09EB96F1" w14:textId="77777777" w:rsidR="00553543" w:rsidRDefault="00584985">
            <w:pPr>
              <w:keepNext/>
              <w:pBdr>
                <w:top w:val="nil"/>
                <w:left w:val="nil"/>
                <w:bottom w:val="nil"/>
                <w:right w:val="nil"/>
                <w:between w:val="nil"/>
                <w:bar w:val="nil"/>
              </w:pBdr>
              <w:jc w:val="right"/>
              <w:rPr>
                <w:color w:val="000000"/>
              </w:rPr>
            </w:pPr>
            <w:r>
              <w:rPr>
                <w:color w:val="000000"/>
              </w:rPr>
              <w:t>419</w:t>
            </w:r>
          </w:p>
        </w:tc>
        <w:tc>
          <w:tcPr>
            <w:tcW w:w="50" w:type="pct"/>
            <w:tcBorders>
              <w:top w:val="nil"/>
              <w:left w:val="nil"/>
              <w:bottom w:val="nil"/>
              <w:right w:val="nil"/>
            </w:tcBorders>
            <w:shd w:val="clear" w:color="auto" w:fill="FFFFFF"/>
            <w:vAlign w:val="bottom"/>
          </w:tcPr>
          <w:p w14:paraId="2E0A619C"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5F4F7124"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05B45942"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72D0F105" w14:textId="77777777" w:rsidR="00553543" w:rsidRDefault="00584985">
            <w:pPr>
              <w:keepNext/>
              <w:pBdr>
                <w:top w:val="nil"/>
                <w:left w:val="nil"/>
                <w:bottom w:val="nil"/>
                <w:right w:val="nil"/>
                <w:between w:val="nil"/>
                <w:bar w:val="nil"/>
              </w:pBdr>
              <w:jc w:val="right"/>
              <w:rPr>
                <w:color w:val="000000"/>
              </w:rPr>
            </w:pPr>
            <w:r>
              <w:rPr>
                <w:color w:val="000000"/>
              </w:rPr>
              <w:t>579</w:t>
            </w:r>
          </w:p>
        </w:tc>
        <w:tc>
          <w:tcPr>
            <w:tcW w:w="50" w:type="pct"/>
            <w:tcBorders>
              <w:top w:val="nil"/>
              <w:left w:val="nil"/>
              <w:bottom w:val="nil"/>
              <w:right w:val="nil"/>
            </w:tcBorders>
            <w:shd w:val="clear" w:color="auto" w:fill="FFFFFF"/>
            <w:vAlign w:val="bottom"/>
          </w:tcPr>
          <w:p w14:paraId="54BB47EC" w14:textId="77777777" w:rsidR="00553543" w:rsidRDefault="00553543">
            <w:pPr>
              <w:keepNext/>
              <w:pBdr>
                <w:top w:val="nil"/>
                <w:left w:val="nil"/>
                <w:bottom w:val="nil"/>
                <w:right w:val="nil"/>
                <w:between w:val="nil"/>
                <w:bar w:val="nil"/>
              </w:pBdr>
              <w:rPr>
                <w:color w:val="000000"/>
              </w:rPr>
            </w:pPr>
          </w:p>
        </w:tc>
      </w:tr>
      <w:tr w:rsidR="00553543" w14:paraId="7849A35F" w14:textId="77777777">
        <w:trPr>
          <w:cantSplit/>
          <w:jc w:val="center"/>
        </w:trPr>
        <w:tc>
          <w:tcPr>
            <w:tcW w:w="3349" w:type="pct"/>
            <w:tcBorders>
              <w:top w:val="nil"/>
              <w:left w:val="nil"/>
              <w:bottom w:val="nil"/>
              <w:right w:val="nil"/>
            </w:tcBorders>
            <w:shd w:val="clear" w:color="auto" w:fill="CFF0FC"/>
          </w:tcPr>
          <w:p w14:paraId="69CA761A" w14:textId="77777777" w:rsidR="00553543" w:rsidRDefault="00584985">
            <w:pPr>
              <w:keepNext/>
              <w:pBdr>
                <w:top w:val="nil"/>
                <w:left w:val="nil"/>
                <w:bottom w:val="nil"/>
                <w:right w:val="nil"/>
                <w:between w:val="nil"/>
                <w:bar w:val="nil"/>
              </w:pBdr>
              <w:rPr>
                <w:color w:val="000000"/>
              </w:rPr>
            </w:pPr>
            <w:r>
              <w:rPr>
                <w:color w:val="000000"/>
              </w:rPr>
              <w:t>Interest expense, net</w:t>
            </w:r>
          </w:p>
        </w:tc>
        <w:tc>
          <w:tcPr>
            <w:tcW w:w="81" w:type="pct"/>
            <w:tcBorders>
              <w:top w:val="nil"/>
              <w:left w:val="nil"/>
              <w:bottom w:val="nil"/>
              <w:right w:val="nil"/>
            </w:tcBorders>
            <w:shd w:val="clear" w:color="auto" w:fill="CFF0FC"/>
            <w:vAlign w:val="bottom"/>
          </w:tcPr>
          <w:p w14:paraId="1721C0C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04EE4DE5"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452F005D" w14:textId="77777777" w:rsidR="00553543" w:rsidRDefault="00584985">
            <w:pPr>
              <w:keepNext/>
              <w:pBdr>
                <w:top w:val="nil"/>
                <w:left w:val="nil"/>
                <w:bottom w:val="nil"/>
                <w:right w:val="nil"/>
                <w:between w:val="nil"/>
                <w:bar w:val="nil"/>
              </w:pBdr>
              <w:jc w:val="right"/>
              <w:rPr>
                <w:color w:val="000000"/>
              </w:rPr>
            </w:pPr>
            <w:r>
              <w:rPr>
                <w:color w:val="000000"/>
              </w:rPr>
              <w:t>1,147</w:t>
            </w:r>
          </w:p>
        </w:tc>
        <w:tc>
          <w:tcPr>
            <w:tcW w:w="50" w:type="pct"/>
            <w:tcBorders>
              <w:top w:val="nil"/>
              <w:left w:val="nil"/>
              <w:bottom w:val="nil"/>
              <w:right w:val="nil"/>
            </w:tcBorders>
            <w:shd w:val="clear" w:color="auto" w:fill="CFF0FC"/>
            <w:vAlign w:val="bottom"/>
          </w:tcPr>
          <w:p w14:paraId="372DD623"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747CDB32"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74F20F3D"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053F7D97" w14:textId="77777777" w:rsidR="00553543" w:rsidRDefault="00584985">
            <w:pPr>
              <w:keepNext/>
              <w:pBdr>
                <w:top w:val="nil"/>
                <w:left w:val="nil"/>
                <w:bottom w:val="nil"/>
                <w:right w:val="nil"/>
                <w:between w:val="nil"/>
                <w:bar w:val="nil"/>
              </w:pBdr>
              <w:jc w:val="right"/>
              <w:rPr>
                <w:color w:val="000000"/>
              </w:rPr>
            </w:pPr>
            <w:r>
              <w:rPr>
                <w:color w:val="000000"/>
              </w:rPr>
              <w:t>2,955</w:t>
            </w:r>
          </w:p>
        </w:tc>
        <w:tc>
          <w:tcPr>
            <w:tcW w:w="50" w:type="pct"/>
            <w:tcBorders>
              <w:top w:val="nil"/>
              <w:left w:val="nil"/>
              <w:bottom w:val="nil"/>
              <w:right w:val="nil"/>
            </w:tcBorders>
            <w:shd w:val="clear" w:color="auto" w:fill="CFF0FC"/>
            <w:vAlign w:val="bottom"/>
          </w:tcPr>
          <w:p w14:paraId="6FC1C904" w14:textId="77777777" w:rsidR="00553543" w:rsidRDefault="00553543">
            <w:pPr>
              <w:keepNext/>
              <w:pBdr>
                <w:top w:val="nil"/>
                <w:left w:val="nil"/>
                <w:bottom w:val="nil"/>
                <w:right w:val="nil"/>
                <w:between w:val="nil"/>
                <w:bar w:val="nil"/>
              </w:pBdr>
              <w:rPr>
                <w:color w:val="000000"/>
              </w:rPr>
            </w:pPr>
          </w:p>
        </w:tc>
      </w:tr>
      <w:tr w:rsidR="00553543" w14:paraId="69516AEC" w14:textId="77777777">
        <w:trPr>
          <w:cantSplit/>
          <w:jc w:val="center"/>
        </w:trPr>
        <w:tc>
          <w:tcPr>
            <w:tcW w:w="3349" w:type="pct"/>
            <w:tcBorders>
              <w:top w:val="nil"/>
              <w:left w:val="nil"/>
              <w:bottom w:val="nil"/>
              <w:right w:val="nil"/>
            </w:tcBorders>
            <w:shd w:val="clear" w:color="auto" w:fill="FFFFFF"/>
          </w:tcPr>
          <w:p w14:paraId="3C0D7CB5" w14:textId="77777777" w:rsidR="00553543" w:rsidRDefault="00584985">
            <w:pPr>
              <w:keepNext/>
              <w:pBdr>
                <w:top w:val="nil"/>
                <w:left w:val="nil"/>
                <w:bottom w:val="nil"/>
                <w:right w:val="nil"/>
                <w:between w:val="nil"/>
                <w:bar w:val="nil"/>
              </w:pBdr>
              <w:rPr>
                <w:color w:val="000000"/>
              </w:rPr>
            </w:pPr>
            <w:r>
              <w:rPr>
                <w:color w:val="000000"/>
              </w:rPr>
              <w:t>Change in fair value of warrant liabilities</w:t>
            </w:r>
          </w:p>
        </w:tc>
        <w:tc>
          <w:tcPr>
            <w:tcW w:w="81" w:type="pct"/>
            <w:tcBorders>
              <w:top w:val="nil"/>
              <w:left w:val="nil"/>
              <w:bottom w:val="nil"/>
              <w:right w:val="nil"/>
            </w:tcBorders>
            <w:shd w:val="clear" w:color="auto" w:fill="FFFFFF"/>
            <w:vAlign w:val="bottom"/>
          </w:tcPr>
          <w:p w14:paraId="6C75F5B5"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04600550"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72B8788B" w14:textId="77777777" w:rsidR="00553543" w:rsidRDefault="00584985">
            <w:pPr>
              <w:keepNext/>
              <w:pBdr>
                <w:top w:val="nil"/>
                <w:left w:val="nil"/>
                <w:bottom w:val="nil"/>
                <w:right w:val="nil"/>
                <w:between w:val="nil"/>
                <w:bar w:val="nil"/>
              </w:pBdr>
              <w:jc w:val="right"/>
              <w:rPr>
                <w:color w:val="000000"/>
              </w:rPr>
            </w:pPr>
            <w:r>
              <w:rPr>
                <w:color w:val="000000"/>
              </w:rPr>
              <w:t>—</w:t>
            </w:r>
          </w:p>
        </w:tc>
        <w:tc>
          <w:tcPr>
            <w:tcW w:w="50" w:type="pct"/>
            <w:tcBorders>
              <w:top w:val="nil"/>
              <w:left w:val="nil"/>
              <w:bottom w:val="nil"/>
              <w:right w:val="nil"/>
            </w:tcBorders>
            <w:shd w:val="clear" w:color="auto" w:fill="FFFFFF"/>
            <w:vAlign w:val="bottom"/>
          </w:tcPr>
          <w:p w14:paraId="29F56C53"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4749817F"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FFFFFF"/>
            <w:vAlign w:val="bottom"/>
          </w:tcPr>
          <w:p w14:paraId="69F9BAB4"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FFFFFF"/>
            <w:vAlign w:val="bottom"/>
          </w:tcPr>
          <w:p w14:paraId="2C7C75DE" w14:textId="77777777" w:rsidR="00553543" w:rsidRDefault="00584985">
            <w:pPr>
              <w:keepNext/>
              <w:pBdr>
                <w:top w:val="nil"/>
                <w:left w:val="nil"/>
                <w:bottom w:val="nil"/>
                <w:right w:val="nil"/>
                <w:between w:val="nil"/>
                <w:bar w:val="nil"/>
              </w:pBdr>
              <w:jc w:val="right"/>
              <w:rPr>
                <w:color w:val="000000"/>
              </w:rPr>
            </w:pPr>
            <w:r>
              <w:rPr>
                <w:color w:val="000000"/>
              </w:rPr>
              <w:t>(7,723</w:t>
            </w:r>
          </w:p>
        </w:tc>
        <w:tc>
          <w:tcPr>
            <w:tcW w:w="50" w:type="pct"/>
            <w:tcBorders>
              <w:top w:val="nil"/>
              <w:left w:val="nil"/>
              <w:bottom w:val="nil"/>
              <w:right w:val="nil"/>
            </w:tcBorders>
            <w:shd w:val="clear" w:color="auto" w:fill="FFFFFF"/>
            <w:vAlign w:val="bottom"/>
          </w:tcPr>
          <w:p w14:paraId="3DC27D65" w14:textId="77777777" w:rsidR="00553543" w:rsidRDefault="00584985">
            <w:pPr>
              <w:keepNext/>
              <w:pBdr>
                <w:top w:val="nil"/>
                <w:left w:val="nil"/>
                <w:bottom w:val="nil"/>
                <w:right w:val="nil"/>
                <w:between w:val="nil"/>
                <w:bar w:val="nil"/>
              </w:pBdr>
              <w:rPr>
                <w:color w:val="000000"/>
              </w:rPr>
            </w:pPr>
            <w:r>
              <w:rPr>
                <w:color w:val="000000"/>
              </w:rPr>
              <w:t>)</w:t>
            </w:r>
          </w:p>
        </w:tc>
      </w:tr>
      <w:tr w:rsidR="00553543" w14:paraId="2E93E48E" w14:textId="77777777">
        <w:trPr>
          <w:cantSplit/>
          <w:jc w:val="center"/>
        </w:trPr>
        <w:tc>
          <w:tcPr>
            <w:tcW w:w="3349" w:type="pct"/>
            <w:tcBorders>
              <w:top w:val="nil"/>
              <w:left w:val="nil"/>
              <w:bottom w:val="nil"/>
              <w:right w:val="nil"/>
            </w:tcBorders>
            <w:shd w:val="clear" w:color="auto" w:fill="CFF0FC"/>
          </w:tcPr>
          <w:p w14:paraId="737FDAC4" w14:textId="77777777" w:rsidR="00553543" w:rsidRDefault="00584985">
            <w:pPr>
              <w:keepNext/>
              <w:pBdr>
                <w:top w:val="nil"/>
                <w:left w:val="nil"/>
                <w:bottom w:val="nil"/>
                <w:right w:val="nil"/>
                <w:between w:val="nil"/>
                <w:bar w:val="nil"/>
              </w:pBdr>
              <w:rPr>
                <w:color w:val="000000"/>
              </w:rPr>
            </w:pPr>
            <w:r>
              <w:rPr>
                <w:color w:val="000000"/>
              </w:rPr>
              <w:t>Depreciation and amortization</w:t>
            </w:r>
          </w:p>
        </w:tc>
        <w:tc>
          <w:tcPr>
            <w:tcW w:w="81" w:type="pct"/>
            <w:tcBorders>
              <w:top w:val="nil"/>
              <w:left w:val="nil"/>
              <w:bottom w:val="nil"/>
              <w:right w:val="nil"/>
            </w:tcBorders>
            <w:shd w:val="clear" w:color="auto" w:fill="CFF0FC"/>
            <w:vAlign w:val="bottom"/>
          </w:tcPr>
          <w:p w14:paraId="0AF874C9"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78A505ED"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6DE15D2A" w14:textId="77777777" w:rsidR="00553543" w:rsidRDefault="00584985">
            <w:pPr>
              <w:keepNext/>
              <w:pBdr>
                <w:top w:val="nil"/>
                <w:left w:val="nil"/>
                <w:bottom w:val="nil"/>
                <w:right w:val="nil"/>
                <w:between w:val="nil"/>
                <w:bar w:val="nil"/>
              </w:pBdr>
              <w:jc w:val="right"/>
              <w:rPr>
                <w:color w:val="000000"/>
              </w:rPr>
            </w:pPr>
            <w:r>
              <w:rPr>
                <w:color w:val="000000"/>
              </w:rPr>
              <w:t>6,179</w:t>
            </w:r>
          </w:p>
        </w:tc>
        <w:tc>
          <w:tcPr>
            <w:tcW w:w="50" w:type="pct"/>
            <w:tcBorders>
              <w:top w:val="nil"/>
              <w:left w:val="nil"/>
              <w:bottom w:val="nil"/>
              <w:right w:val="nil"/>
            </w:tcBorders>
            <w:shd w:val="clear" w:color="auto" w:fill="CFF0FC"/>
            <w:vAlign w:val="bottom"/>
          </w:tcPr>
          <w:p w14:paraId="79C00F10"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580ECDED"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nil"/>
              <w:right w:val="nil"/>
            </w:tcBorders>
            <w:shd w:val="clear" w:color="auto" w:fill="CFF0FC"/>
            <w:vAlign w:val="bottom"/>
          </w:tcPr>
          <w:p w14:paraId="4AFED357"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nil"/>
              <w:right w:val="nil"/>
            </w:tcBorders>
            <w:shd w:val="clear" w:color="auto" w:fill="CFF0FC"/>
            <w:vAlign w:val="bottom"/>
          </w:tcPr>
          <w:p w14:paraId="2CFE8D12" w14:textId="77777777" w:rsidR="00553543" w:rsidRDefault="00584985">
            <w:pPr>
              <w:keepNext/>
              <w:pBdr>
                <w:top w:val="nil"/>
                <w:left w:val="nil"/>
                <w:bottom w:val="nil"/>
                <w:right w:val="nil"/>
                <w:between w:val="nil"/>
                <w:bar w:val="nil"/>
              </w:pBdr>
              <w:jc w:val="right"/>
              <w:rPr>
                <w:color w:val="000000"/>
              </w:rPr>
            </w:pPr>
            <w:r>
              <w:rPr>
                <w:color w:val="000000"/>
              </w:rPr>
              <w:t>6,209</w:t>
            </w:r>
          </w:p>
        </w:tc>
        <w:tc>
          <w:tcPr>
            <w:tcW w:w="50" w:type="pct"/>
            <w:tcBorders>
              <w:top w:val="nil"/>
              <w:left w:val="nil"/>
              <w:bottom w:val="nil"/>
              <w:right w:val="nil"/>
            </w:tcBorders>
            <w:shd w:val="clear" w:color="auto" w:fill="CFF0FC"/>
            <w:vAlign w:val="bottom"/>
          </w:tcPr>
          <w:p w14:paraId="3C76A48F" w14:textId="77777777" w:rsidR="00553543" w:rsidRDefault="00553543">
            <w:pPr>
              <w:keepNext/>
              <w:pBdr>
                <w:top w:val="nil"/>
                <w:left w:val="nil"/>
                <w:bottom w:val="nil"/>
                <w:right w:val="nil"/>
                <w:between w:val="nil"/>
                <w:bar w:val="nil"/>
              </w:pBdr>
              <w:rPr>
                <w:color w:val="000000"/>
              </w:rPr>
            </w:pPr>
          </w:p>
        </w:tc>
      </w:tr>
      <w:tr w:rsidR="00553543" w14:paraId="3E110DC6" w14:textId="77777777">
        <w:trPr>
          <w:cantSplit/>
          <w:jc w:val="center"/>
        </w:trPr>
        <w:tc>
          <w:tcPr>
            <w:tcW w:w="3349" w:type="pct"/>
            <w:tcBorders>
              <w:top w:val="nil"/>
              <w:left w:val="nil"/>
              <w:bottom w:val="nil"/>
              <w:right w:val="nil"/>
            </w:tcBorders>
            <w:shd w:val="clear" w:color="auto" w:fill="FFFFFF"/>
          </w:tcPr>
          <w:p w14:paraId="7AB3F6EC" w14:textId="77777777" w:rsidR="00553543" w:rsidRDefault="00584985">
            <w:pPr>
              <w:keepNext/>
              <w:pBdr>
                <w:top w:val="nil"/>
                <w:left w:val="nil"/>
                <w:bottom w:val="nil"/>
                <w:right w:val="nil"/>
                <w:between w:val="nil"/>
                <w:bar w:val="nil"/>
              </w:pBdr>
              <w:rPr>
                <w:color w:val="000000"/>
              </w:rPr>
            </w:pPr>
            <w:r>
              <w:rPr>
                <w:color w:val="000000"/>
              </w:rPr>
              <w:t>Stock-based compensation</w:t>
            </w:r>
          </w:p>
        </w:tc>
        <w:tc>
          <w:tcPr>
            <w:tcW w:w="81" w:type="pct"/>
            <w:tcBorders>
              <w:top w:val="nil"/>
              <w:left w:val="nil"/>
              <w:bottom w:val="nil"/>
              <w:right w:val="nil"/>
            </w:tcBorders>
            <w:shd w:val="clear" w:color="auto" w:fill="FFFFFF"/>
            <w:vAlign w:val="bottom"/>
          </w:tcPr>
          <w:p w14:paraId="6514A5AE"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6424FE6B"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single" w:sz="4" w:space="0" w:color="000000"/>
              <w:right w:val="nil"/>
            </w:tcBorders>
            <w:shd w:val="clear" w:color="auto" w:fill="FFFFFF"/>
            <w:vAlign w:val="bottom"/>
          </w:tcPr>
          <w:p w14:paraId="7A413286" w14:textId="77777777" w:rsidR="00553543" w:rsidRDefault="00584985">
            <w:pPr>
              <w:keepNext/>
              <w:pBdr>
                <w:top w:val="nil"/>
                <w:left w:val="nil"/>
                <w:bottom w:val="nil"/>
                <w:right w:val="nil"/>
                <w:between w:val="nil"/>
                <w:bar w:val="nil"/>
              </w:pBdr>
              <w:jc w:val="right"/>
              <w:rPr>
                <w:color w:val="000000"/>
              </w:rPr>
            </w:pPr>
            <w:r>
              <w:rPr>
                <w:color w:val="000000"/>
              </w:rPr>
              <w:t>3,560</w:t>
            </w:r>
          </w:p>
        </w:tc>
        <w:tc>
          <w:tcPr>
            <w:tcW w:w="50" w:type="pct"/>
            <w:tcBorders>
              <w:top w:val="nil"/>
              <w:left w:val="nil"/>
              <w:bottom w:val="nil"/>
              <w:right w:val="nil"/>
            </w:tcBorders>
            <w:shd w:val="clear" w:color="auto" w:fill="FFFFFF"/>
            <w:vAlign w:val="bottom"/>
          </w:tcPr>
          <w:p w14:paraId="323C2ED9" w14:textId="77777777" w:rsidR="00553543" w:rsidRDefault="00553543">
            <w:pPr>
              <w:keepNext/>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FFFFFF"/>
            <w:vAlign w:val="bottom"/>
          </w:tcPr>
          <w:p w14:paraId="49DE1186" w14:textId="77777777" w:rsidR="00553543" w:rsidRDefault="00553543">
            <w:pPr>
              <w:keepNext/>
              <w:pBdr>
                <w:top w:val="nil"/>
                <w:left w:val="nil"/>
                <w:bottom w:val="nil"/>
                <w:right w:val="nil"/>
                <w:between w:val="nil"/>
                <w:bar w:val="nil"/>
              </w:pBdr>
              <w:rPr>
                <w:color w:val="000000"/>
              </w:rPr>
            </w:pPr>
          </w:p>
        </w:tc>
        <w:tc>
          <w:tcPr>
            <w:tcW w:w="53" w:type="pct"/>
            <w:tcBorders>
              <w:top w:val="nil"/>
              <w:left w:val="nil"/>
              <w:bottom w:val="single" w:sz="4" w:space="0" w:color="000000"/>
              <w:right w:val="nil"/>
            </w:tcBorders>
            <w:shd w:val="clear" w:color="auto" w:fill="FFFFFF"/>
            <w:vAlign w:val="bottom"/>
          </w:tcPr>
          <w:p w14:paraId="67532196" w14:textId="77777777" w:rsidR="00553543" w:rsidRDefault="00553543">
            <w:pPr>
              <w:keepNext/>
              <w:pBdr>
                <w:top w:val="nil"/>
                <w:left w:val="nil"/>
                <w:bottom w:val="nil"/>
                <w:right w:val="nil"/>
                <w:between w:val="nil"/>
                <w:bar w:val="nil"/>
              </w:pBdr>
              <w:rPr>
                <w:color w:val="000000"/>
              </w:rPr>
            </w:pPr>
          </w:p>
        </w:tc>
        <w:tc>
          <w:tcPr>
            <w:tcW w:w="641" w:type="pct"/>
            <w:tcBorders>
              <w:top w:val="nil"/>
              <w:left w:val="nil"/>
              <w:bottom w:val="single" w:sz="4" w:space="0" w:color="000000"/>
              <w:right w:val="nil"/>
            </w:tcBorders>
            <w:shd w:val="clear" w:color="auto" w:fill="FFFFFF"/>
            <w:vAlign w:val="bottom"/>
          </w:tcPr>
          <w:p w14:paraId="7B3C6482" w14:textId="77777777" w:rsidR="00553543" w:rsidRDefault="00584985">
            <w:pPr>
              <w:keepNext/>
              <w:pBdr>
                <w:top w:val="nil"/>
                <w:left w:val="nil"/>
                <w:bottom w:val="nil"/>
                <w:right w:val="nil"/>
                <w:between w:val="nil"/>
                <w:bar w:val="nil"/>
              </w:pBdr>
              <w:jc w:val="right"/>
              <w:rPr>
                <w:color w:val="000000"/>
              </w:rPr>
            </w:pPr>
            <w:r>
              <w:rPr>
                <w:color w:val="000000"/>
              </w:rPr>
              <w:t>2,094</w:t>
            </w:r>
          </w:p>
        </w:tc>
        <w:tc>
          <w:tcPr>
            <w:tcW w:w="50" w:type="pct"/>
            <w:tcBorders>
              <w:top w:val="nil"/>
              <w:left w:val="nil"/>
              <w:bottom w:val="nil"/>
              <w:right w:val="nil"/>
            </w:tcBorders>
            <w:shd w:val="clear" w:color="auto" w:fill="FFFFFF"/>
            <w:vAlign w:val="bottom"/>
          </w:tcPr>
          <w:p w14:paraId="56E8DA71" w14:textId="77777777" w:rsidR="00553543" w:rsidRDefault="00553543">
            <w:pPr>
              <w:keepNext/>
              <w:pBdr>
                <w:top w:val="nil"/>
                <w:left w:val="nil"/>
                <w:bottom w:val="nil"/>
                <w:right w:val="nil"/>
                <w:between w:val="nil"/>
                <w:bar w:val="nil"/>
              </w:pBdr>
              <w:rPr>
                <w:color w:val="000000"/>
              </w:rPr>
            </w:pPr>
          </w:p>
        </w:tc>
      </w:tr>
      <w:tr w:rsidR="00553543" w14:paraId="7CF88C19" w14:textId="77777777">
        <w:trPr>
          <w:cantSplit/>
          <w:jc w:val="center"/>
        </w:trPr>
        <w:tc>
          <w:tcPr>
            <w:tcW w:w="3349" w:type="pct"/>
            <w:tcBorders>
              <w:top w:val="nil"/>
              <w:left w:val="nil"/>
              <w:bottom w:val="nil"/>
              <w:right w:val="nil"/>
            </w:tcBorders>
            <w:shd w:val="clear" w:color="auto" w:fill="CFF0FC"/>
          </w:tcPr>
          <w:p w14:paraId="2F4A2DE9" w14:textId="77777777" w:rsidR="00553543" w:rsidRDefault="00584985">
            <w:pPr>
              <w:pBdr>
                <w:top w:val="nil"/>
                <w:left w:val="nil"/>
                <w:bottom w:val="nil"/>
                <w:right w:val="nil"/>
                <w:between w:val="nil"/>
                <w:bar w:val="nil"/>
              </w:pBdr>
              <w:rPr>
                <w:color w:val="000000"/>
              </w:rPr>
            </w:pPr>
            <w:r>
              <w:rPr>
                <w:color w:val="000000"/>
              </w:rPr>
              <w:t>Adjusted EBITDA</w:t>
            </w:r>
          </w:p>
        </w:tc>
        <w:tc>
          <w:tcPr>
            <w:tcW w:w="81" w:type="pct"/>
            <w:tcBorders>
              <w:top w:val="nil"/>
              <w:left w:val="nil"/>
              <w:bottom w:val="nil"/>
              <w:right w:val="nil"/>
            </w:tcBorders>
            <w:shd w:val="clear" w:color="auto" w:fill="CFF0FC"/>
            <w:vAlign w:val="bottom"/>
          </w:tcPr>
          <w:p w14:paraId="4BD01A56" w14:textId="77777777" w:rsidR="00553543" w:rsidRDefault="00553543">
            <w:pPr>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098F3527" w14:textId="77777777" w:rsidR="00553543" w:rsidRDefault="00584985">
            <w:pPr>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double" w:sz="6" w:space="0" w:color="000000"/>
              <w:right w:val="nil"/>
            </w:tcBorders>
            <w:shd w:val="clear" w:color="auto" w:fill="CFF0FC"/>
            <w:vAlign w:val="bottom"/>
          </w:tcPr>
          <w:p w14:paraId="55F6DFD3" w14:textId="77777777" w:rsidR="00553543" w:rsidRDefault="00584985">
            <w:pPr>
              <w:pBdr>
                <w:top w:val="nil"/>
                <w:left w:val="nil"/>
                <w:bottom w:val="nil"/>
                <w:right w:val="nil"/>
                <w:between w:val="nil"/>
                <w:bar w:val="nil"/>
              </w:pBdr>
              <w:jc w:val="right"/>
              <w:rPr>
                <w:color w:val="000000"/>
              </w:rPr>
            </w:pPr>
            <w:r>
              <w:rPr>
                <w:color w:val="000000"/>
              </w:rPr>
              <w:t>26,576</w:t>
            </w:r>
          </w:p>
        </w:tc>
        <w:tc>
          <w:tcPr>
            <w:tcW w:w="50" w:type="pct"/>
            <w:tcBorders>
              <w:top w:val="nil"/>
              <w:left w:val="nil"/>
              <w:bottom w:val="nil"/>
              <w:right w:val="nil"/>
            </w:tcBorders>
            <w:shd w:val="clear" w:color="auto" w:fill="CFF0FC"/>
            <w:vAlign w:val="bottom"/>
          </w:tcPr>
          <w:p w14:paraId="7AF58681" w14:textId="77777777" w:rsidR="00553543" w:rsidRDefault="00553543">
            <w:pPr>
              <w:pBdr>
                <w:top w:val="nil"/>
                <w:left w:val="nil"/>
                <w:bottom w:val="nil"/>
                <w:right w:val="nil"/>
                <w:between w:val="nil"/>
                <w:bar w:val="nil"/>
              </w:pBdr>
              <w:rPr>
                <w:color w:val="000000"/>
              </w:rPr>
            </w:pPr>
          </w:p>
        </w:tc>
        <w:tc>
          <w:tcPr>
            <w:tcW w:w="81" w:type="pct"/>
            <w:tcBorders>
              <w:top w:val="nil"/>
              <w:left w:val="nil"/>
              <w:bottom w:val="nil"/>
              <w:right w:val="nil"/>
            </w:tcBorders>
            <w:shd w:val="clear" w:color="auto" w:fill="CFF0FC"/>
            <w:vAlign w:val="bottom"/>
          </w:tcPr>
          <w:p w14:paraId="3835EF6F" w14:textId="77777777" w:rsidR="00553543" w:rsidRDefault="00553543">
            <w:pPr>
              <w:pBdr>
                <w:top w:val="nil"/>
                <w:left w:val="nil"/>
                <w:bottom w:val="nil"/>
                <w:right w:val="nil"/>
                <w:between w:val="nil"/>
                <w:bar w:val="nil"/>
              </w:pBdr>
              <w:rPr>
                <w:color w:val="000000"/>
              </w:rPr>
            </w:pPr>
          </w:p>
        </w:tc>
        <w:tc>
          <w:tcPr>
            <w:tcW w:w="53" w:type="pct"/>
            <w:tcBorders>
              <w:top w:val="single" w:sz="4" w:space="0" w:color="000000"/>
              <w:left w:val="nil"/>
              <w:bottom w:val="double" w:sz="6" w:space="0" w:color="000000"/>
              <w:right w:val="nil"/>
            </w:tcBorders>
            <w:shd w:val="clear" w:color="auto" w:fill="CFF0FC"/>
            <w:vAlign w:val="bottom"/>
          </w:tcPr>
          <w:p w14:paraId="082F56CF" w14:textId="77777777" w:rsidR="00553543" w:rsidRDefault="00584985">
            <w:pPr>
              <w:pBdr>
                <w:top w:val="nil"/>
                <w:left w:val="nil"/>
                <w:bottom w:val="nil"/>
                <w:right w:val="nil"/>
                <w:between w:val="nil"/>
                <w:bar w:val="nil"/>
              </w:pBdr>
              <w:rPr>
                <w:color w:val="000000"/>
              </w:rPr>
            </w:pPr>
            <w:r>
              <w:rPr>
                <w:color w:val="000000"/>
              </w:rPr>
              <w:t>$</w:t>
            </w:r>
          </w:p>
        </w:tc>
        <w:tc>
          <w:tcPr>
            <w:tcW w:w="641" w:type="pct"/>
            <w:tcBorders>
              <w:top w:val="single" w:sz="4" w:space="0" w:color="000000"/>
              <w:left w:val="nil"/>
              <w:bottom w:val="double" w:sz="6" w:space="0" w:color="000000"/>
              <w:right w:val="nil"/>
            </w:tcBorders>
            <w:shd w:val="clear" w:color="auto" w:fill="CFF0FC"/>
            <w:vAlign w:val="bottom"/>
          </w:tcPr>
          <w:p w14:paraId="1B2202BE" w14:textId="77777777" w:rsidR="00553543" w:rsidRDefault="00584985">
            <w:pPr>
              <w:pBdr>
                <w:top w:val="nil"/>
                <w:left w:val="nil"/>
                <w:bottom w:val="nil"/>
                <w:right w:val="nil"/>
                <w:between w:val="nil"/>
                <w:bar w:val="nil"/>
              </w:pBdr>
              <w:jc w:val="right"/>
              <w:rPr>
                <w:color w:val="000000"/>
              </w:rPr>
            </w:pPr>
            <w:r>
              <w:rPr>
                <w:color w:val="000000"/>
              </w:rPr>
              <w:t>25,280</w:t>
            </w:r>
          </w:p>
        </w:tc>
        <w:tc>
          <w:tcPr>
            <w:tcW w:w="50" w:type="pct"/>
            <w:tcBorders>
              <w:top w:val="nil"/>
              <w:left w:val="nil"/>
              <w:bottom w:val="nil"/>
              <w:right w:val="nil"/>
            </w:tcBorders>
            <w:shd w:val="clear" w:color="auto" w:fill="CFF0FC"/>
            <w:vAlign w:val="bottom"/>
          </w:tcPr>
          <w:p w14:paraId="02CFE7B4" w14:textId="77777777" w:rsidR="00553543" w:rsidRDefault="00553543">
            <w:pPr>
              <w:pBdr>
                <w:top w:val="nil"/>
                <w:left w:val="nil"/>
                <w:bottom w:val="nil"/>
                <w:right w:val="nil"/>
                <w:between w:val="nil"/>
                <w:bar w:val="nil"/>
              </w:pBdr>
              <w:rPr>
                <w:color w:val="000000"/>
              </w:rPr>
            </w:pPr>
          </w:p>
        </w:tc>
      </w:tr>
    </w:tbl>
    <w:p w14:paraId="6623A5A0" w14:textId="77777777" w:rsidR="00553543" w:rsidRDefault="00584985">
      <w:pPr>
        <w:pBdr>
          <w:top w:val="nil"/>
          <w:left w:val="nil"/>
          <w:bottom w:val="nil"/>
          <w:right w:val="nil"/>
          <w:between w:val="nil"/>
          <w:bar w:val="nil"/>
        </w:pBdr>
        <w:spacing w:before="360"/>
        <w:rPr>
          <w:b/>
          <w:color w:val="000000"/>
        </w:rPr>
      </w:pPr>
      <w:r>
        <w:rPr>
          <w:b/>
          <w:color w:val="000000"/>
        </w:rPr>
        <w:t>Contact:</w:t>
      </w:r>
    </w:p>
    <w:p w14:paraId="0095D65A" w14:textId="77777777" w:rsidR="00553543" w:rsidRDefault="00584985">
      <w:pPr>
        <w:pBdr>
          <w:top w:val="nil"/>
          <w:left w:val="nil"/>
          <w:bottom w:val="nil"/>
          <w:right w:val="nil"/>
          <w:between w:val="nil"/>
          <w:bar w:val="nil"/>
        </w:pBdr>
        <w:spacing w:before="120"/>
        <w:rPr>
          <w:color w:val="000000"/>
        </w:rPr>
      </w:pPr>
      <w:r>
        <w:rPr>
          <w:color w:val="000000"/>
        </w:rPr>
        <w:t>ICR:</w:t>
      </w:r>
    </w:p>
    <w:p w14:paraId="0F4CEB67" w14:textId="77777777" w:rsidR="00553543" w:rsidRDefault="00584985">
      <w:pPr>
        <w:pBdr>
          <w:top w:val="nil"/>
          <w:left w:val="nil"/>
          <w:bottom w:val="nil"/>
          <w:right w:val="nil"/>
          <w:between w:val="nil"/>
          <w:bar w:val="nil"/>
        </w:pBdr>
        <w:rPr>
          <w:color w:val="000000"/>
        </w:rPr>
      </w:pPr>
      <w:r>
        <w:rPr>
          <w:color w:val="000000"/>
        </w:rPr>
        <w:t>Investors:</w:t>
      </w:r>
    </w:p>
    <w:p w14:paraId="14EF8472" w14:textId="77777777" w:rsidR="00553543" w:rsidRDefault="00584985">
      <w:pPr>
        <w:pBdr>
          <w:top w:val="nil"/>
          <w:left w:val="nil"/>
          <w:bottom w:val="nil"/>
          <w:right w:val="nil"/>
          <w:between w:val="nil"/>
          <w:bar w:val="nil"/>
        </w:pBdr>
        <w:rPr>
          <w:color w:val="000000"/>
        </w:rPr>
      </w:pPr>
      <w:r>
        <w:rPr>
          <w:color w:val="000000"/>
        </w:rPr>
        <w:t>Allison Malkin, 203-682-8225</w:t>
      </w:r>
    </w:p>
    <w:p w14:paraId="43B8C6F8" w14:textId="77777777" w:rsidR="00553543" w:rsidRDefault="00584985">
      <w:pPr>
        <w:pBdr>
          <w:top w:val="nil"/>
          <w:left w:val="nil"/>
          <w:bottom w:val="nil"/>
          <w:right w:val="nil"/>
          <w:between w:val="nil"/>
          <w:bar w:val="nil"/>
        </w:pBdr>
        <w:rPr>
          <w:color w:val="000000"/>
          <w:u w:val="single"/>
        </w:rPr>
      </w:pPr>
      <w:r>
        <w:rPr>
          <w:color w:val="000000"/>
          <w:u w:val="single"/>
        </w:rPr>
        <w:t>allison.malkin@icrinc.com</w:t>
      </w:r>
    </w:p>
    <w:p w14:paraId="22B5E71C" w14:textId="77777777" w:rsidR="00553543" w:rsidRDefault="00584985">
      <w:pPr>
        <w:pBdr>
          <w:top w:val="nil"/>
          <w:left w:val="nil"/>
          <w:bottom w:val="nil"/>
          <w:right w:val="nil"/>
          <w:between w:val="nil"/>
          <w:bar w:val="nil"/>
        </w:pBdr>
        <w:spacing w:before="360"/>
        <w:rPr>
          <w:b/>
          <w:color w:val="000000"/>
        </w:rPr>
      </w:pPr>
      <w:r>
        <w:rPr>
          <w:b/>
          <w:color w:val="000000"/>
        </w:rPr>
        <w:t>Follow OneSpaWorld:</w:t>
      </w:r>
    </w:p>
    <w:p w14:paraId="376FD239" w14:textId="77777777" w:rsidR="00553543" w:rsidRDefault="00584985">
      <w:pPr>
        <w:pBdr>
          <w:top w:val="nil"/>
          <w:left w:val="nil"/>
          <w:bottom w:val="nil"/>
          <w:right w:val="nil"/>
          <w:between w:val="nil"/>
          <w:bar w:val="nil"/>
        </w:pBdr>
        <w:spacing w:before="120"/>
        <w:rPr>
          <w:color w:val="000000"/>
        </w:rPr>
      </w:pPr>
      <w:r>
        <w:rPr>
          <w:color w:val="000000"/>
        </w:rPr>
        <w:t>Instagram: @onespaworld</w:t>
      </w:r>
    </w:p>
    <w:p w14:paraId="57E09F42" w14:textId="77777777" w:rsidR="00553543" w:rsidRDefault="00584985">
      <w:pPr>
        <w:pBdr>
          <w:top w:val="nil"/>
          <w:left w:val="nil"/>
          <w:bottom w:val="nil"/>
          <w:right w:val="nil"/>
          <w:between w:val="nil"/>
          <w:bar w:val="nil"/>
        </w:pBdr>
        <w:rPr>
          <w:color w:val="000000"/>
        </w:rPr>
      </w:pPr>
      <w:r>
        <w:rPr>
          <w:color w:val="000000"/>
        </w:rPr>
        <w:t>LinkedIn: OneSpaWorld</w:t>
      </w:r>
    </w:p>
    <w:p w14:paraId="5F4A9CE9" w14:textId="77777777" w:rsidR="00553543" w:rsidRDefault="00584985">
      <w:pPr>
        <w:pBdr>
          <w:top w:val="nil"/>
          <w:left w:val="nil"/>
          <w:bottom w:val="nil"/>
          <w:right w:val="nil"/>
          <w:between w:val="nil"/>
          <w:bar w:val="nil"/>
        </w:pBdr>
        <w:rPr>
          <w:color w:val="000000"/>
        </w:rPr>
      </w:pPr>
      <w:r>
        <w:rPr>
          <w:color w:val="000000"/>
        </w:rPr>
        <w:t>Facebook: @onespaworld</w:t>
      </w:r>
    </w:p>
    <w:sectPr w:rsidR="00553543">
      <w:headerReference w:type="default" r:id="rId7"/>
      <w:pgSz w:w="12240" w:h="15840"/>
      <w:pgMar w:top="720" w:right="720" w:bottom="720" w:left="720" w:header="720" w:footer="720" w:gutter="0"/>
      <w:pgBorders>
        <w:top w:val="nil"/>
        <w:left w:val="nil"/>
        <w:bottom w:val="nil"/>
        <w:right w:val="nil"/>
      </w:pgBorders>
      <w:pgNumType w:start="1"/>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4D17" w14:textId="77777777" w:rsidR="0054765E" w:rsidRDefault="0054765E">
      <w:r>
        <w:separator/>
      </w:r>
    </w:p>
  </w:endnote>
  <w:endnote w:type="continuationSeparator" w:id="0">
    <w:p w14:paraId="320881F2" w14:textId="77777777" w:rsidR="0054765E" w:rsidRDefault="0054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5F61" w14:textId="77777777" w:rsidR="0054765E" w:rsidRDefault="0054765E">
      <w:r>
        <w:separator/>
      </w:r>
    </w:p>
  </w:footnote>
  <w:footnote w:type="continuationSeparator" w:id="0">
    <w:p w14:paraId="1DCABE5A" w14:textId="77777777" w:rsidR="0054765E" w:rsidRDefault="0054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A49A" w14:textId="77777777" w:rsidR="00865664" w:rsidRDefault="00865664">
    <w:pPr>
      <w:pBdr>
        <w:top w:val="nil"/>
        <w:left w:val="nil"/>
        <w:bottom w:val="nil"/>
        <w:right w:val="nil"/>
        <w:between w:val="nil"/>
        <w:bar w:val="nil"/>
      </w:pBdr>
      <w:rPr>
        <w:rFonts w:ascii="Calibri" w:eastAsia="Calibri" w:hAnsi="Calibri" w:cs="Calibri"/>
        <w:color w:val="000000"/>
        <w:sz w:val="22"/>
      </w:rPr>
    </w:pPr>
    <w:r>
      <w:rPr>
        <w:rFonts w:ascii="Calibri" w:eastAsia="Calibri" w:hAnsi="Calibri" w:cs="Calibri"/>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disk-square"/>
    <w:lvl w:ilvl="0">
      <w:start w:val="1"/>
      <w:numFmt w:val="bullet"/>
      <w:lvlText w:val=""/>
      <w:lvlJc w:val="left"/>
      <w:pPr>
        <w:tabs>
          <w:tab w:val="num" w:pos="0"/>
        </w:tabs>
        <w:ind w:left="979" w:hanging="489"/>
      </w:pPr>
    </w:lvl>
    <w:lvl w:ilvl="1">
      <w:start w:val="1"/>
      <w:numFmt w:val="bullet"/>
      <w:lvlText w:val="o"/>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o"/>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o"/>
      <w:lvlJc w:val="left"/>
      <w:pPr>
        <w:tabs>
          <w:tab w:val="num" w:pos="0"/>
        </w:tabs>
        <w:ind w:left="4406" w:hanging="489"/>
      </w:pPr>
    </w:lvl>
    <w:lvl w:ilvl="8">
      <w:start w:val="1"/>
      <w:numFmt w:val="bullet"/>
      <w:lvlText w:val=""/>
      <w:lvlJc w:val="left"/>
      <w:pPr>
        <w:tabs>
          <w:tab w:val="num" w:pos="0"/>
        </w:tabs>
        <w:ind w:left="4896" w:hanging="490"/>
      </w:pPr>
    </w:lvl>
  </w:abstractNum>
  <w:abstractNum w:abstractNumId="1" w15:restartNumberingAfterBreak="0">
    <w:nsid w:val="00000002"/>
    <w:multiLevelType w:val="multilevel"/>
    <w:tmpl w:val="00000001"/>
    <w:lvl w:ilvl="0">
      <w:start w:val="1"/>
      <w:numFmt w:val="bullet"/>
      <w:lvlText w:val=""/>
      <w:lvlJc w:val="left"/>
      <w:pPr>
        <w:tabs>
          <w:tab w:val="num" w:pos="0"/>
        </w:tabs>
        <w:ind w:left="979" w:hanging="489"/>
      </w:pPr>
      <w:rPr>
        <w:rFonts w:ascii="Symbol" w:eastAsia="Symbol" w:hAnsi="Symbol" w:cs="Symbol"/>
      </w:rPr>
    </w:lvl>
    <w:lvl w:ilvl="1">
      <w:start w:val="1"/>
      <w:numFmt w:val="bullet"/>
      <w:lvlText w:val="o"/>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o"/>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o"/>
      <w:lvlJc w:val="left"/>
      <w:pPr>
        <w:tabs>
          <w:tab w:val="num" w:pos="0"/>
        </w:tabs>
        <w:ind w:left="4406" w:hanging="489"/>
      </w:pPr>
    </w:lvl>
    <w:lvl w:ilvl="8">
      <w:start w:val="1"/>
      <w:numFmt w:val="bullet"/>
      <w:lvlText w:val=""/>
      <w:lvlJc w:val="left"/>
      <w:pPr>
        <w:tabs>
          <w:tab w:val="num" w:pos="0"/>
        </w:tabs>
        <w:ind w:left="4896" w:hanging="490"/>
      </w:pPr>
    </w:lvl>
  </w:abstractNum>
  <w:abstractNum w:abstractNumId="2" w15:restartNumberingAfterBreak="0">
    <w:nsid w:val="00000003"/>
    <w:multiLevelType w:val="hybridMultilevel"/>
    <w:tmpl w:val="00000003"/>
    <w:lvl w:ilvl="0" w:tplc="5876FDAA">
      <w:start w:val="1"/>
      <w:numFmt w:val="bullet"/>
      <w:lvlText w:val=""/>
      <w:lvlJc w:val="left"/>
      <w:pPr>
        <w:tabs>
          <w:tab w:val="num" w:pos="720"/>
        </w:tabs>
        <w:ind w:left="720" w:hanging="360"/>
      </w:pPr>
      <w:rPr>
        <w:rFonts w:ascii="Symbol" w:hAnsi="Symbol"/>
      </w:rPr>
    </w:lvl>
    <w:lvl w:ilvl="1" w:tplc="11E82F02">
      <w:start w:val="1"/>
      <w:numFmt w:val="bullet"/>
      <w:lvlText w:val="o"/>
      <w:lvlJc w:val="left"/>
      <w:pPr>
        <w:tabs>
          <w:tab w:val="num" w:pos="1440"/>
        </w:tabs>
        <w:ind w:left="1440" w:hanging="360"/>
      </w:pPr>
      <w:rPr>
        <w:rFonts w:ascii="Courier New" w:hAnsi="Courier New"/>
      </w:rPr>
    </w:lvl>
    <w:lvl w:ilvl="2" w:tplc="E230E714">
      <w:start w:val="1"/>
      <w:numFmt w:val="bullet"/>
      <w:lvlText w:val=""/>
      <w:lvlJc w:val="left"/>
      <w:pPr>
        <w:tabs>
          <w:tab w:val="num" w:pos="2160"/>
        </w:tabs>
        <w:ind w:left="2160" w:hanging="360"/>
      </w:pPr>
      <w:rPr>
        <w:rFonts w:ascii="Wingdings" w:hAnsi="Wingdings"/>
      </w:rPr>
    </w:lvl>
    <w:lvl w:ilvl="3" w:tplc="72DE1DFC">
      <w:start w:val="1"/>
      <w:numFmt w:val="bullet"/>
      <w:lvlText w:val=""/>
      <w:lvlJc w:val="left"/>
      <w:pPr>
        <w:tabs>
          <w:tab w:val="num" w:pos="2880"/>
        </w:tabs>
        <w:ind w:left="2880" w:hanging="360"/>
      </w:pPr>
      <w:rPr>
        <w:rFonts w:ascii="Symbol" w:hAnsi="Symbol"/>
      </w:rPr>
    </w:lvl>
    <w:lvl w:ilvl="4" w:tplc="D45AFA8C">
      <w:start w:val="1"/>
      <w:numFmt w:val="bullet"/>
      <w:lvlText w:val="o"/>
      <w:lvlJc w:val="left"/>
      <w:pPr>
        <w:tabs>
          <w:tab w:val="num" w:pos="3600"/>
        </w:tabs>
        <w:ind w:left="3600" w:hanging="360"/>
      </w:pPr>
      <w:rPr>
        <w:rFonts w:ascii="Courier New" w:hAnsi="Courier New"/>
      </w:rPr>
    </w:lvl>
    <w:lvl w:ilvl="5" w:tplc="500AEFBC">
      <w:start w:val="1"/>
      <w:numFmt w:val="bullet"/>
      <w:lvlText w:val=""/>
      <w:lvlJc w:val="left"/>
      <w:pPr>
        <w:tabs>
          <w:tab w:val="num" w:pos="4320"/>
        </w:tabs>
        <w:ind w:left="4320" w:hanging="360"/>
      </w:pPr>
      <w:rPr>
        <w:rFonts w:ascii="Wingdings" w:hAnsi="Wingdings"/>
      </w:rPr>
    </w:lvl>
    <w:lvl w:ilvl="6" w:tplc="8B9C4D36">
      <w:start w:val="1"/>
      <w:numFmt w:val="bullet"/>
      <w:lvlText w:val=""/>
      <w:lvlJc w:val="left"/>
      <w:pPr>
        <w:tabs>
          <w:tab w:val="num" w:pos="5040"/>
        </w:tabs>
        <w:ind w:left="5040" w:hanging="360"/>
      </w:pPr>
      <w:rPr>
        <w:rFonts w:ascii="Symbol" w:hAnsi="Symbol"/>
      </w:rPr>
    </w:lvl>
    <w:lvl w:ilvl="7" w:tplc="774656B0">
      <w:start w:val="1"/>
      <w:numFmt w:val="bullet"/>
      <w:lvlText w:val="o"/>
      <w:lvlJc w:val="left"/>
      <w:pPr>
        <w:tabs>
          <w:tab w:val="num" w:pos="5760"/>
        </w:tabs>
        <w:ind w:left="5760" w:hanging="360"/>
      </w:pPr>
      <w:rPr>
        <w:rFonts w:ascii="Courier New" w:hAnsi="Courier New"/>
      </w:rPr>
    </w:lvl>
    <w:lvl w:ilvl="8" w:tplc="3A5E8B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1"/>
    <w:lvl w:ilvl="0">
      <w:start w:val="1"/>
      <w:numFmt w:val="bullet"/>
      <w:lvlText w:val=""/>
      <w:lvlJc w:val="left"/>
      <w:pPr>
        <w:tabs>
          <w:tab w:val="num" w:pos="0"/>
        </w:tabs>
        <w:ind w:left="979" w:hanging="489"/>
      </w:pPr>
      <w:rPr>
        <w:rFonts w:ascii="Symbol" w:eastAsia="Symbol" w:hAnsi="Symbol" w:cs="Symbol"/>
      </w:rPr>
    </w:lvl>
    <w:lvl w:ilvl="1">
      <w:start w:val="1"/>
      <w:numFmt w:val="bullet"/>
      <w:lvlText w:val="o"/>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o"/>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o"/>
      <w:lvlJc w:val="left"/>
      <w:pPr>
        <w:tabs>
          <w:tab w:val="num" w:pos="0"/>
        </w:tabs>
        <w:ind w:left="4406" w:hanging="489"/>
      </w:pPr>
    </w:lvl>
    <w:lvl w:ilvl="8">
      <w:start w:val="1"/>
      <w:numFmt w:val="bullet"/>
      <w:lvlText w:val=""/>
      <w:lvlJc w:val="left"/>
      <w:pPr>
        <w:tabs>
          <w:tab w:val="num" w:pos="0"/>
        </w:tabs>
        <w:ind w:left="4896" w:hanging="490"/>
      </w:pPr>
    </w:lvl>
  </w:abstractNum>
  <w:abstractNum w:abstractNumId="4" w15:restartNumberingAfterBreak="0">
    <w:nsid w:val="00000005"/>
    <w:multiLevelType w:val="hybridMultilevel"/>
    <w:tmpl w:val="00000005"/>
    <w:lvl w:ilvl="0" w:tplc="15222D5E">
      <w:start w:val="1"/>
      <w:numFmt w:val="bullet"/>
      <w:lvlText w:val=""/>
      <w:lvlJc w:val="left"/>
      <w:pPr>
        <w:tabs>
          <w:tab w:val="num" w:pos="720"/>
        </w:tabs>
        <w:ind w:left="720" w:hanging="360"/>
      </w:pPr>
      <w:rPr>
        <w:rFonts w:ascii="Symbol" w:hAnsi="Symbol"/>
      </w:rPr>
    </w:lvl>
    <w:lvl w:ilvl="1" w:tplc="D102C568">
      <w:start w:val="1"/>
      <w:numFmt w:val="bullet"/>
      <w:lvlText w:val="o"/>
      <w:lvlJc w:val="left"/>
      <w:pPr>
        <w:tabs>
          <w:tab w:val="num" w:pos="1440"/>
        </w:tabs>
        <w:ind w:left="1440" w:hanging="360"/>
      </w:pPr>
      <w:rPr>
        <w:rFonts w:ascii="Courier New" w:hAnsi="Courier New"/>
      </w:rPr>
    </w:lvl>
    <w:lvl w:ilvl="2" w:tplc="AA96C412">
      <w:start w:val="1"/>
      <w:numFmt w:val="bullet"/>
      <w:lvlText w:val=""/>
      <w:lvlJc w:val="left"/>
      <w:pPr>
        <w:tabs>
          <w:tab w:val="num" w:pos="2160"/>
        </w:tabs>
        <w:ind w:left="2160" w:hanging="360"/>
      </w:pPr>
      <w:rPr>
        <w:rFonts w:ascii="Wingdings" w:hAnsi="Wingdings"/>
      </w:rPr>
    </w:lvl>
    <w:lvl w:ilvl="3" w:tplc="8876AF54">
      <w:start w:val="1"/>
      <w:numFmt w:val="bullet"/>
      <w:lvlText w:val=""/>
      <w:lvlJc w:val="left"/>
      <w:pPr>
        <w:tabs>
          <w:tab w:val="num" w:pos="2880"/>
        </w:tabs>
        <w:ind w:left="2880" w:hanging="360"/>
      </w:pPr>
      <w:rPr>
        <w:rFonts w:ascii="Symbol" w:hAnsi="Symbol"/>
      </w:rPr>
    </w:lvl>
    <w:lvl w:ilvl="4" w:tplc="B13A6D66">
      <w:start w:val="1"/>
      <w:numFmt w:val="bullet"/>
      <w:lvlText w:val="o"/>
      <w:lvlJc w:val="left"/>
      <w:pPr>
        <w:tabs>
          <w:tab w:val="num" w:pos="3600"/>
        </w:tabs>
        <w:ind w:left="3600" w:hanging="360"/>
      </w:pPr>
      <w:rPr>
        <w:rFonts w:ascii="Courier New" w:hAnsi="Courier New"/>
      </w:rPr>
    </w:lvl>
    <w:lvl w:ilvl="5" w:tplc="3AF08576">
      <w:start w:val="1"/>
      <w:numFmt w:val="bullet"/>
      <w:lvlText w:val=""/>
      <w:lvlJc w:val="left"/>
      <w:pPr>
        <w:tabs>
          <w:tab w:val="num" w:pos="4320"/>
        </w:tabs>
        <w:ind w:left="4320" w:hanging="360"/>
      </w:pPr>
      <w:rPr>
        <w:rFonts w:ascii="Wingdings" w:hAnsi="Wingdings"/>
      </w:rPr>
    </w:lvl>
    <w:lvl w:ilvl="6" w:tplc="5E7C1C38">
      <w:start w:val="1"/>
      <w:numFmt w:val="bullet"/>
      <w:lvlText w:val=""/>
      <w:lvlJc w:val="left"/>
      <w:pPr>
        <w:tabs>
          <w:tab w:val="num" w:pos="5040"/>
        </w:tabs>
        <w:ind w:left="5040" w:hanging="360"/>
      </w:pPr>
      <w:rPr>
        <w:rFonts w:ascii="Symbol" w:hAnsi="Symbol"/>
      </w:rPr>
    </w:lvl>
    <w:lvl w:ilvl="7" w:tplc="13B6AD0E">
      <w:start w:val="1"/>
      <w:numFmt w:val="bullet"/>
      <w:lvlText w:val="o"/>
      <w:lvlJc w:val="left"/>
      <w:pPr>
        <w:tabs>
          <w:tab w:val="num" w:pos="5760"/>
        </w:tabs>
        <w:ind w:left="5760" w:hanging="360"/>
      </w:pPr>
      <w:rPr>
        <w:rFonts w:ascii="Courier New" w:hAnsi="Courier New"/>
      </w:rPr>
    </w:lvl>
    <w:lvl w:ilvl="8" w:tplc="739C99F2">
      <w:start w:val="1"/>
      <w:numFmt w:val="bullet"/>
      <w:lvlText w:val=""/>
      <w:lvlJc w:val="left"/>
      <w:pPr>
        <w:tabs>
          <w:tab w:val="num" w:pos="6480"/>
        </w:tabs>
        <w:ind w:left="6480" w:hanging="360"/>
      </w:pPr>
      <w:rPr>
        <w:rFonts w:ascii="Wingdings" w:hAnsi="Wingdings"/>
      </w:rPr>
    </w:lvl>
  </w:abstractNum>
  <w:num w:numId="1" w16cid:durableId="735014387">
    <w:abstractNumId w:val="0"/>
  </w:num>
  <w:num w:numId="2" w16cid:durableId="794834996">
    <w:abstractNumId w:val="1"/>
  </w:num>
  <w:num w:numId="3" w16cid:durableId="1835562168">
    <w:abstractNumId w:val="2"/>
  </w:num>
  <w:num w:numId="4" w16cid:durableId="173343313">
    <w:abstractNumId w:val="3"/>
  </w:num>
  <w:num w:numId="5" w16cid:durableId="1508902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77B3E"/>
    <w:rsid w:val="0054765E"/>
    <w:rsid w:val="00553543"/>
    <w:rsid w:val="00584985"/>
    <w:rsid w:val="00616AB6"/>
    <w:rsid w:val="00865664"/>
    <w:rsid w:val="00A77B3E"/>
    <w:rsid w:val="00B30487"/>
    <w:rsid w:val="00B67F18"/>
    <w:rsid w:val="00C606BA"/>
    <w:rsid w:val="00C76297"/>
    <w:rsid w:val="00CA2A55"/>
    <w:rsid w:val="00D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034E7"/>
  <w15:docId w15:val="{27B97253-D356-4B8E-BE9D-920634BE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rsid w:val="00EF7B96"/>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disk-square">
    <w:name w:val="bullet-disk-squar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Brenan</dc:creator>
  <cp:lastModifiedBy>Yisell Hernandez</cp:lastModifiedBy>
  <cp:revision>2</cp:revision>
  <dcterms:created xsi:type="dcterms:W3CDTF">2025-04-30T12:44:00Z</dcterms:created>
  <dcterms:modified xsi:type="dcterms:W3CDTF">2025-04-30T12:44:00Z</dcterms:modified>
</cp:coreProperties>
</file>